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PE06.008631 vom 2. April 2012</w:t>
      </w:r>
    </w:p>
    <w:p>
      <w:r>
        <w:t>VD Tribunal cantonal, 2012-04-02, FR</w:t>
      </w:r>
    </w:p>
    <w:p>
      <w:r>
        <w:rPr>
          <w:b/>
        </w:rPr>
        <w:t xml:space="preserve">Quelle: </w:t>
      </w:r>
      <w:r>
        <w:t>https://mcp.opencaselaw.ch/entscheid/vd_gerichte_PE06.008631</w:t>
      </w:r>
    </w:p>
    <w:p>
      <w:r>
        <w:t>FR: VD_GERICHTE PE06.008631 du 2 avril 2012</w:t>
      </w:r>
    </w:p>
    <w:p>
      <w:r>
        <w:t>IT: VD_GERICHTE PE06.008631 del 2 aprile 2012</w:t>
      </w:r>
    </w:p>
    <w:p>
      <w:pPr>
        <w:pStyle w:val="Heading2"/>
      </w:pPr>
      <w:r>
        <w:t>Erwägungen</w:t>
      </w:r>
    </w:p>
    <w:p>
      <w:r>
        <w:rPr>
          <w:b/>
        </w:rPr>
        <w:t>E. 25</w:t>
      </w:r>
    </w:p>
    <w:p>
      <w:r>
        <w:t>in fine) et que sa rémunération de directeur a augmenté progressivement jusqu’en 2007 (jugt, p. 27). Or, que l’on se réfère à l’art. 6 DPA (Loi fédérale sur le droit pénal administratif du 22 mars 1974, RS 313.0), applicable par renvoi de l’art. 89 LPTh, ou que l’on se réfère à l’art.</w:t>
      </w:r>
    </w:p>
    <w:p>
      <w:r>
        <w:rPr>
          <w:b/>
        </w:rPr>
        <w:t>E. 29</w:t>
      </w:r>
    </w:p>
    <w:p>
      <w:r>
        <w:t>produits, dont la liste figure au considérant 2.2 ci-avant (p. 14). Comme on l'a vu ci-dessus (cons. 4.2.2), plusieurs dizaines d'autres produits ont été présentés à la vente comme médicaments. Or, si la plupart des publipostages concernant ces produits ne permettent pas de statuer sur la prescription, faute pour ces publicités ou bulletins de commande qu'elles contiennent d'être datés, il en existe en tout cas 4 sur lesquels figure (en haut à gauche) l'indication "Bon de recommande" ou son abréviation (en majuscules) "BDR" suivie d'une date postérieure au 15 novembre 2005 (pièce 43, annexe); il s'agit des produits dénommés Arthro-Vie, T'Chi-Patch, Cure Myrtille Bleue et Ginger-Patch, qui doivent donc également être retenus. A ceux-là s'ajoutent encore 10 produits dont la documentation – qui a fait l'objet de plaintes ou dénonciations postérieurement à la date précitée – a été transmise au magistrat instructeur soit par la Pharmacienne cantonale vaudoise, soit par M.________, à savoir : Gotulitho (pièce 31), Bioveinol (pièce 48), Cure de Rhodiola rosea, Cure de pulpe pure d'Aloe vera et Cure de jeunesse Ayur Veda (pièce 51), Arthrotextil (pièce 52), Das Blaue Gold et Oliva (pièce 53), Baume du Siam au Ginseng (pièce 58), ainsi que Flex 3 (pièce 61/1).</w:t>
      </w:r>
    </w:p>
    <w:p>
      <w:r>
        <w:t>- 33 - Enfin, il convient de retenir, parmi les plaintes et dénonciations (réclamations) versées au dossier par le P.________ (pièces 23, 59/1, 60, 86 et classeurs 2 et 3), celles déposées postérieurement au 15 novembre 2005 et portant, à tout le moins, sur les 18 produits suivants : Biortisone, Eau de colon, Yarsagumba, Extraveinol, Botoslim, Hepatonic, Huile d'Argan, Sulfagic, Dolo-Contact, Derma-Tonic, Renocare, Hydrocare, Glucoman 425, Cartilage de raie, Ashwagandha, Actif iH et Glutathion (figurant tous à la pièce 86), ainsi que Skinly (classeur 3/XXI). Le fait que le Juge d'instruction ait, dans son ordonnance de renvoi du 23 décembre 2010, déclaré que la plainte du P.________ du 17 août 2006 était tardive s'agissant des réclamations de tierces personnes antérieures au 16 mai 2006 est sans pertinence pour statuer sur la question de la prescription de l'infraction à l'art. 87 LPTh, dans la mesure où le non-lieu qui a été prononcé (désormais définitif) ne concerne que les infractions à la LCD reprochées au prévenu 4.10 En définitive, l'appel de M.________ doit être admis et J.________ condamné pour contravention par métier à la LPTh au sens de l'art. 87 al. 1 et 2 LPTh pour avoir violé les art. 18 al. 1 let. c et 27 de cette loi. Il sera statué ci-après (cons. 6) sur la peine à prononcer. 5. Le P.________ conclut à ce que J.________ soit reconnu coupable d'infraction à la LCD pour avoir enfreint l'art. 3 let. b, c, d, h et i de cette loi. 5.1 Selon l'art. 10 al. 3 LCD, la Confédération peut intenter les actions prévues à l'art. 9 al. 1 et 2 LCD "si elle le juge nécessaire à la protection de l'intérêt public", notamment lorsque "la réputation de la Suisse à l'étranger est menacée ou subit une atteinte et les personnes dont les intérêts économiques sont touchés résident à l'étranger" (let. a). En l'espèce, ces conditions sont réalisées. En effet, les clients qui ont dénoncé les cas à la police, aux administrations communales, aux</w:t>
      </w:r>
    </w:p>
    <w:p>
      <w:r>
        <w:t>- 34 - pharmaciens cantonaux ou directement aux procureurs sont domiciliés à l’étranger et le caractère manifestement abusif ou trompeur d’une partie au moins des publipostages incriminés, ne serait-ce qu’au regard de la domiciliation fictive en Suisse du laboratoire fabriquant les produits, est de nature à mettre en danger la réputation de la Suisse à l’étranger. La Confédération, par l’intermédiaire du P.________, est donc habilitée à agir, et à recourir (cf. ATF 126 III 198 c. 1a; Message concernant la modification de la loi fédérale contre la concurrence déloyale, FF 2009 p. 5539, spéc. p. 5554). 5.2 L’activité déployée par A.________ SA consistant à faire le commerce de médicaments à l’étranger depuis la Suisse est illicite, comme cela a été constaté plus haut. A cela s'ajoute que les prestations offertes étaient purement fallacieuses, puisque la documentation relative à ces produits, qui en principe font l'objet d'un marché, faisait croire aux consommateurs que dits produits possédaient des vertus thérapeutiques ou de bien-être précises et qu'ils étaient conformes aux exigences de santé publique (cf. cons. 2.3 p. 15 ci-avant). La question de savoir si la LCD s’applique en présence d’un marché qui ne devrait pas exister car illicite est discutée (cf. ATF 126 III 123 c. 2c/bb, où le Tribunal fédéral le conteste; contra Killias in SIC ! 2000, p. 320). En l’espèce, la question peut rester ouverte. Si acte de concurrence déloyale il y a, celui-ci ne résulte en effet pas de la vente des médicaments mais de la diffusion des publipostages qui vantent les compositions, les qualités et les effets bénéfiques sur la santé. Or, il n’est pas établi qu’A.________ SA ait envoyé les publipostages litigieux. Il résulte d’ailleurs des enveloppes au dossier que ces envois se faisaient depuis les pays concernés (France et Allemagne, principalement), non depuis la poste suisse, à destination de pays étrangers. Il n’est pas non plus établi que des publipostages aient été expédiés de Suisse ou reçu en Suisse, ni qu’A.________ SA ou J.________ ait participé de quelque manière que ce soit à la création et à l’envoi de ces publipostages. Le seul fait pour A.________ SA d’avoir fourni une adresse en Suisse pour l’envoi des commandes dont elle savait qu’elle ne</w:t>
      </w:r>
    </w:p>
    <w:p>
      <w:r>
        <w:t>- 35 - correspondait ni au lieu de fabrication, ni au domicile du fabricant, ni même au lieu d’expédition, et d’avoir consenti à ce que dite adresse figure sur les publipostages litigieux ne peut suffire à justifier d’une application de la LCD. La situation est ainsi différente de celle du jugement du Tribunal correctionnel de l'arrondissement de Lausanne cité par le P.________ (appel, p. 3 in fine), où l'activité de l'intéressé consistait, notamment, à élaborer des mailings ou publipostages (jugement précité, p. 14). Dans ces conditions, une condamnation de J.________ pour concurrence déloyale est exclue, comme l’a constaté à juste titre le premier juge. Partant, mal fondé, le moyen doit être rejeté et, avec lui, l'appel du P.________. 6. Le prévenu étant en définitive reconnu coupable de contravention par métier à la LPTh, la cour de céans doit statuer sur la peine.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w:t>
      </w:r>
    </w:p>
    <w:p>
      <w:r>
        <w:t>- 36 -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 p. 5). 6.2 En l'espèce, la culpabilité de J.________ est importante. Tout d'abord, son activité illicite s’est poursuivie sur plusieurs années. Même en tenant compte de la prescription pour les faits antérieurs au 15 novembre 2005, il ressort du dossier que plus de 60 médicaments différents ont été commercialisés au-delà de cette date (cons. 4.9.2 ci-avant). Le prévenu, qui savait, ensuite de difficultés rencontrées antérieurement, que son commerce pouvait poser des problèmes, a fui ses responsabilités en disant à ses clients (étrangers) que c’était à eux de déterminer si leur commerce était licite ou non. Il n’a par ailleurs pas interrompu son activité lorsque M.________ est intervenue en 2006 ni lorsque la présente enquête a été ouverte, certains médicaments étant encore commercialisés en 2011 (pièce 86, annexe; cf. ég. jugt, p. 16), ce qui dénote une prise de conscience faible, voire inexistante. Même si le dossier ne permet pas, faute d’une comptabilité analytique, de déterminer précisément les chiffres d’affaires et bénéfices réalisés dans le cadre du commerce illicite, force est de constater que les</w:t>
      </w:r>
    </w:p>
    <w:p>
      <w:r>
        <w:t>- 37 - montants en jeu sont conséquents. Certes, il faut tenir compte, ici encore, des faits prescrits ainsi que des produits de santé non concernés par la LPTh., On constate, sur la base des propres déclarations du prévenu (jugt, p. 4), que les chiffres d’affaires annuels sont de l’ordre de 5 à 10 millions de francs, dont un tiers concernait le domaine de la santé (ibidem). Sachant que chaque vente de médicaments rapportait plus de 30 fr. à A.________ SA (cons. 4.9.2 ci-avant), ces chiffres donnent une idée de l’ampleur du commerce. J.________ a justifié le nombre de ses adresses commerciales par la réception de 10'000 commandes par jour en 2006 et 3'000 en 2008 (PV aud. 1, D. 14; PV aud. 3, p. 1). En estimant à un tiers le nombre de produits relevant du domaine de la santé, le nombre de commandes tombant sous le coup de l’art. 18 LPTh était donc de l’ordre de 3'000 par jour en 2006 et 1'000 en 2008. A cela s'ajoute que ce ne sont pas moins de 21 clients (mandants) – dont la liste figure au considérant 2.3 ci-avant (p. 16) – qui étaient en relations contractuelles avec la société du prévenu, seuls étant finalement retenus ceux qui ont fait l'objet de plaintes (postérieures au 16 mai 2006 [cons. 2.3 ci-avant, p. 15 in fine]) versées au dossier par le P.________ (ATF 126 III 198 précité c. 1a; sont dès lors exclues de ladite liste les entités mentionnées exclusivement aux pièces 31, 43, 46, 48, 51, 52, 53, 58, 61/1 et 93). Enfin, on relèvera que même si la santé du public n’a pas été mise en danger au sens de l’art. 86 LPTh, la commercialisation sur une grande échelle de pseudo-médicaments sur la base de promesses mirifiques et mensongères est de nature à léser une grande quantité de clients crédules et démunis, le but de l’opération n'étant, en l'occurrence, que d’augmenter le chiffre d’affaires et le gain de la société. Au vu de ce qui précède, une peine pécuniaire de cent vingt jours-amende (art. 34 CP) est adéquate pour réprimer le comportement du prévenu (ATF 134 IV 82 c. 4.1; TF 6B_541/2007 du 13 mai 2008), le</w:t>
      </w:r>
    </w:p>
    <w:p>
      <w:r>
        <w:t>- 38 - montant du jour-amende étant fixé à 30 fr., vu la situation financière de l'intéressé (p. 3 ci-avant). Compte tenu de l'absence d'antécédents du prévenu, acquitté lors de son précédent jugement en raison de la prescription, et de la cessation des activités de sa société dans le domaine de la santé, société dont il n'est plus ni administrateur, ni employé (ibidem), le risque de récidive, s'il n'est pas nul, peut être considéré comme faible. Il convient dès lors d'assortir la peine pécuniaire du sursis et de fixer le délai d'épreuve à trois ans. Vu le caractère particulièrement économique de l'activité en cause, il se justifie de prononcer, en sus de la peine pécuniaire avec sursis, une amende de 7'000 fr. à titre de sanction immédiate (art. 42 al. 4 CP), la peine privative de liberté de substitution en cas de non-paiement étant fixée à septante jours (art. 106 al. 2 CP). 7. Il reste à statuer sur le sort des frais de la procédure et sur la question de l'indemnité de l'art. 429 CPP. 7.1 La libération de J.________ des chefs d'accusation de contravention aux dispositions concernant les raisons de commerce, de contravention à la loi vaudoise sur la santé publique et d'exercice illégal d'une profession de la santé (jugt, pp. 61 s.) n'a pas donné lieu à des mesures d'instruction particulières et donc à des frais particuliers. En revanche, sa libération des autres chefs d'accusation (infraction par métier à la LPTh, infraction à la LPTh, contravention à la LPTh – accusations que le Ministère public a abandonnées lors des débats de première instance [jugt, p. 41] – et infraction à la LCD) ne correspond pas à une réduction des actes d'instruction nécessités par le jugement des faits de la cause. Enfin, s'agissant de l'infraction de contravention par métier à la LPTh dont le prévenu a été reconnu coupable (cons. 4.9 ci-avant), le fait qu'une partie de l'activité litigieuse soit couverte par la prescription (cons. 4.9.2 ci-avant) ne fait pas obstacle à la mise à sa charge des frais. Dans ces</w:t>
      </w:r>
    </w:p>
    <w:p>
      <w:r>
        <w:t>- 39 - circonstances, il convient, après déduction des frais en rapport avec la disjonction de cause ordonnée aux débats du 27 octobre 2011 (jugt, pp. 21 s.), de mettre à la charge du prévenu, en application de l'art. 426 al. 1, 1ère phrase, CPP, la moitié des frais de première instance, par 4'000 francs. 7.2 J.________ conclut au paiement d'une indemnité au sens de l'art. 429 al. 1 let. a CPP correspondant à 480 heures de travail pour la procédure de première instance (appel, p. 5). Aux termes de cette disposition,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Elle peut enjoindre à celui-ci de les chiffrer et de les justifier (al. 2). En l'espèce, le total de 480 heures est à l'évidence excessif. Tout d'abord, si rien n’interdit à une partie de se faire assister de deux, voire trois conseils, on ne saurait considérer, à ce stade, qu’il s’agisse alors de l’exercice "raisonnable" des droits de procédure. Ensuite, s’il est vrai, d'une part, que le dossier est particulièrement volumineux en raison de la production de tous les publipostages concernant les médicaments incriminés et que, d'autre part, les questions de droit à résoudre sortent du cadre habituel, les problèmes de fait et de droit posés par cette affaire ne sont toutefois pas d’une complexité telle qu’ils peuvent justifier un investissement en temps de cette ampleur. Au surplus, une partie importante du travail effectué dans cette affaire – et qui se trouve notamment à l’origine des divers recours au Tribunal d’accusation puis à la Chambre des recours pénale –, concerne le volet "voyance" du dossier, qui a été disjoint de la présente cause et n'a pas encore été jugé. Enfin, la décision prise ci-dessus s'agissant des frais impliquerait encore la réduction de moitié d'une éventuelle indemnité.</w:t>
      </w:r>
    </w:p>
    <w:p>
      <w:r>
        <w:t>- 40 - Quoiqu'il en soit, la question du montant de l'indemnité à allouer au prévenu, qui pourrait tout au plus correspondre à une centaine d'heures de travail pour la première instance (abstraction faite de la réduction ou du refus de l’indemnité selon les art. 429 et 430 CPP), peut être laissée ouverte. En effet, il ressort du jugement attaqué (p. 41) que le Président du tribunal de première instance a, conformément aux exigences de l’art. 429 al. 2 CPP précité (cf. TF 1B_475/2011 du 11 janvier 2012; cf. ég. TF 1B_114/2011 du 11 avril 2011), interpellé le prévenu au terme de l’instruction. Celui-ci, assisté de deux mandataires professionnels, s’est contenté de réserver ses droits et n’a formulé aucune conclusion à cet égard, ni à ce moment-là, ni au cours des plaidoiries (jugt, p. 42). Dans ces conditions, aucun reproche ne saurait être formulé à l’encontre du premier juge en relation avec son devoir d’instruire d’office la question des prétentions ad art. 429 CPP. Comme la doctrine l'indique (Schmid, Handbuch des Schweizerischen Strafprozessrechts, St-Gall 2009, n. 1819, p. 836; Wehrenberg/Bernhard, in: Basler Kommentar, op. cit., n.</w:t>
      </w:r>
    </w:p>
    <w:p>
      <w:r>
        <w:rPr>
          <w:b/>
        </w:rPr>
        <w:t>E. 31</w:t>
      </w:r>
    </w:p>
    <w:p>
      <w:r>
        <w:t>ad art. 429 CPP), la partie libérée peut renoncer à sa prétention. En l'espèce, en se réservant de faire valoir ses droits ultérieurement sans obtenir, ni même requérir, l’application de l’art. 342 CPP, le prévenu doit être tenu pour avoir renoncé à ses droits sur ce point, de telle sorte que son appel sur cette question doit être rejeté dans la mesure où il est recevable. Mal fondé, le moyen doit donc être rejeté et, avec lui, l'appel de J.________. 8. Le premier juge a ordonné la levée du séquestre et la restitution des objets séquestrés sous fiche n° 2650. Aux termes de l'art. 69 CP, alors même qu'aucune personne déterminée n'est punissable, le juge prononce la confiscation d'objets qui ont servi ou devaient servir à commettre une infraction ou qui sont le produit d'une infraction, si ces objets compromettent la sécurité des</w:t>
      </w:r>
    </w:p>
    <w:p>
      <w:r>
        <w:t>- 41 - personnes, la morale ou l'ordre public (al. 1). Le juge peut ordonner que les objets confisqués soient mis hors d'usage ou détruits (al. 2). Lors de la perquisition d'août 2006 dans les locaux d'A.________ SA à Nyon (pièces 22/2, 22/3 et 28), des médicaments ainsi que divers documents et un CD ont été saisis. Les médicaments doivent être confisqués et détruits en application de la disposition précitée, dès lors qu'ils ont servi à commettre une infraction, la prescription concernant la commercialisation d'une partie de ces produits ne faisant pas obstacle à leur confiscation (Dupuis et al., op. cit., n. 16 ad art. 69 CP et les références citées). Quant aux documents et au CD saisis, ils seront versés au dossier comme pièces à conviction. Le chiffre II du dispositif du jugement attaqué sera dès lors modifié dans ce sens. 9. Il ressort du chiffre III dudit dispositif que le premier juge a donné acte de leurs réserves civiles aux plaignants X.________ et W.________ et ce, en raison de "l'acquittement du prévenu" (jugt, p. 62 in fine). Bien que la solution retenue par la cour de céans sur le fond diffère de celle du tribunal de première instance, J.________ étant en définitive condamné pour contravention par métier à la LPTh, il n'y a pas lieu de modifier le ch. III précité du dispositif du jugement entrepris, dès lors que les plaignants n'ont pas fait appel. 10. En conclusion, l'appel de M.________ est admis et le jugement attaqué modifié dans le sens des considérants qui précèdent. Les appels du P.________ et de J.________ sont rejetés. 11.</w:t>
      </w:r>
    </w:p>
    <w:p>
      <w:r>
        <w:t>- 42 - 11.1 Vu l'issue de la cause, les frais de la procédure d'appel, par 5'100 fr., sont mis par deux tiers à la charge de J.________, soit 3'400 fr., le solde étant laissé à la charge de l'Etat (cf. art. 20 al. 1 et 2 TFJP – Tarif des frais judiciaires pénaux du 28 septembre 2010, RSV 312.03.1). Ils comprennent les frais de la décision de la cour de céans du 2 juillet 2012 (par 770 fr.) mis à la charge du prévenu dans la même proportion, soit 513 fr. 35. 11.2 J.________ a été représenté en procédure d'appel par un avocat de choix. Conformément à ses conclusions, le prénommé, acquitté en partie, a droit, à la charge de l'Etat, à une indemnité selon l'art. 429 al. 1 let. a CPP pour les dépenses occasionnées par l'exercice raisonnable de ses droits de procédure en appel, étant précisé qu'il a été enjoint par la cour de céans à chiffrer ses prétentions en application de l'art. 429 al. 2, 2ème phrase, CPP (p. 4 ci-avant). Le conseil du prévenu a produit une liste des opérations effectuées en deuxième instance totalisant 131 heures 30. Ce quantum est trop élevé. Plus particulièrement, il est injustifié de facturer les opérations découlant de la rédaction de l'"appel joint" du 29 mai 2012, soit plus de 10 heures, dans la mesure où celui-ci a été déclaré irrecevable, et de se prévaloir d'avoir consacré plus de 40 heures aux recherches et la préparation de l'audience d'appel, alors que le mandataire possédait déjà une connaissance exhaustive du dossier ensuite des débats de première instance. A cela s'ajoute, comme déjà rappelé ci-dessus (cons. 7.2 ci- avant), qu'il ne se justifie pas de financer le travail de plusieurs conseils. Vu l'ampleur et la complexité de la cause ainsi que la connaissance du dossier acquise en première instance, les opérations effectuées postérieurement au jugement entrepris n'impliquaient nullement une activité supérieure à 30 heures. Or, selon la jurisprudence du Tribunal fédéral, il existe un parallélisme entre la mise à la charge du prévenu des frais de procédure selon l’art. 426 CPP et le remboursement de ses frais d'avocat, en ce sens que si les frais de procédure sont mis à la charge du prévenu, il ne peut lui</w:t>
      </w:r>
    </w:p>
    <w:p>
      <w:r>
        <w:t>- 43 - être alloué d’indemnité, tandis que lorsque les frais sont laissés à la charge de l’Etat, le prévenu a droit à une indemnité (ATF 137 IV 352 c. 2.4.2 et les références citées). En l'espèce, les frais d'appel ayant été mis par deux tiers à la charge du prévenu, il y a lieu, conformément à la jurisprudence précitée, de réduire dans la même proportion l'indemnité allouée. C'est donc une somme de 2'700 fr. correspondant à 10 heures de travail à 270 fr. l'heure qui doit être allouée pour la procédure d'appel. 11.3 En vertu de l'art. 442 al. 4 CPP, les autorités pénales peuvent compenser les créances portant sur des frais de procédure avec les indemnités accordées à la partie débitrice dans la même procédure pénale. Il convient en l'occurrence de faire application de cette disposition et d'effectuer une compensation entre l'indemnité allouée à J.________, par 2'700 fr., d'une part, et les frais de première et deuxième instances mis à sa charge, d'un total de 7'473 fr. 35 (4'000 fr. + 3'473 fr. 35),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