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PE05.022080 vom 22. März 2019</w:t>
      </w:r>
    </w:p>
    <w:p>
      <w:r>
        <w:t>VD Tribunal cantonal, 2019-03-22, FR</w:t>
      </w:r>
    </w:p>
    <w:p>
      <w:r>
        <w:rPr>
          <w:b/>
        </w:rPr>
        <w:t xml:space="preserve">Quelle: </w:t>
      </w:r>
      <w:r>
        <w:t>https://mcp.opencaselaw.ch/entscheid/vd_gerichte_PE05.022080</w:t>
      </w:r>
    </w:p>
    <w:p>
      <w:r>
        <w:t>FR: VD_GERICHTE PE05.022080 du 22 mars 2019</w:t>
      </w:r>
    </w:p>
    <w:p>
      <w:r>
        <w:t>IT: VD_GERICHTE PE05.022080 del 22 marzo 2019</w:t>
      </w:r>
    </w:p>
    <w:p>
      <w:pPr>
        <w:pStyle w:val="Heading2"/>
      </w:pPr>
      <w:r>
        <w:t>Erwägungen</w:t>
      </w:r>
    </w:p>
    <w:p>
      <w:r>
        <w:rPr>
          <w:b/>
        </w:rPr>
        <w:t>E. 4.1</w:t>
      </w:r>
    </w:p>
    <w:p>
      <w:r>
        <w:t>L’appelant critique le genre de peine qui lui a été infligée et revendique une peine pécuniaire. Quant à la quotité, il propose l’équivalent de 12 mois au maximum, affirmant qu’il avait le droit de ne pas s’auto-incriminer en niant les faits et que rien n’indiquerait qu’il aurait pris la fuite en 2004. Par ailleurs, la sanction de 13 mois de peine privative de liberté pourrait entraîner la révocation de son permis B (cf. art. 62 al. 1 let. b et 63 LEI [loi sur les étrangers et l'intégration du 16 décembre 2005 ; RS 142.20]). Il plaide également sa mise au bénéfice de la circonstance</w:t>
      </w:r>
    </w:p>
    <w:p>
      <w:r>
        <w:t>- 19 - atténuante de l’art. 48 let. e CP (Code pénal du 21 décembre 1937 ; RS 311.0), à savoir de la réduction sensible de l’intérêt à punir en raison de l’écoulement du temps depuis l’infraction et du bon comportement adopté dans l’intervalle.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4.2.2</w:t>
      </w:r>
    </w:p>
    <w:p>
      <w:r>
        <w:t>Selon l’art. 48 let. e CP, le juge atténue la peine si l’intérêt à punir a sensiblement diminué en raison du temps écoulé depuis l’infraction et que l’auteur s’est bien comporté dans l’intervalle. Selon la jurisprudence, l’atténuation de la peine en raison du temps écoulé depuis l’infraction procède de la même idée que la prescription. L’effet guérisseur du temps écoulé, qui rend moindre la nécessité de punir, doit aussi</w:t>
      </w:r>
    </w:p>
    <w:p>
      <w:r>
        <w:t>- 20 -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du 27 décembre 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w:t>
      </w:r>
    </w:p>
    <w:p>
      <w:r>
        <w:t>- 21 - 5.2 ; ATF 137 IV 57 consid. 4.3.1). La peine privative de liberté et la peine pécuniaire ne sont pas des sanctions du même genre (ATF 144 IV 313 consid. 1.1 ; ATF 144 IV 217 consid. 2.2).</w:t>
      </w:r>
    </w:p>
    <w:p>
      <w:r>
        <w:rPr>
          <w:b/>
        </w:rPr>
        <w:t>E. 4.2.4</w:t>
      </w:r>
    </w:p>
    <w:p>
      <w:r>
        <w:t>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du 23 juin 2015 consid. 6.1 ; TF 6B_709/2013 du 27 janvier 2014 consid. 2). Lorsque des motifs de prévention spéciale permettent de considérer qu'une peine pécuniaire serait d'emblée inadaptée (TF 6B_196/2012 du 24 janvier 2013 consid. 3.3 ; TF 6B_128/2011 du 14 juin 2011), l'autorité peut prononcer une peine privative de liberté de courte durée (CAPE 20 juin 2018/229 consid. 6.2).</w:t>
      </w:r>
    </w:p>
    <w:p>
      <w:r>
        <w:rPr>
          <w:b/>
        </w:rPr>
        <w:t>E. 4.2.5</w:t>
      </w:r>
    </w:p>
    <w:p>
      <w:r>
        <w:t>Aux termes de l'art. 187 ch. 1 CP, celui qui aura commis un acte d'ordre sexuel sur un enfant de moins de seize ans sera puni d’une peine privative de liberté de cinq ans au plus ou d’une peine pécuniaire.</w:t>
      </w:r>
    </w:p>
    <w:p>
      <w:r>
        <w:rPr>
          <w:b/>
        </w:rPr>
        <w:t>E. 4.2.6</w:t>
      </w:r>
    </w:p>
    <w:p>
      <w:r>
        <w:t>Selon l'art. 189 al. 1 CP, l’auteur d’une contrainte sexuelle sera puni d’une peine privative de liberté de dix ans au plus ou d’une peine pécuniaire.</w:t>
      </w:r>
    </w:p>
    <w:p>
      <w:r>
        <w:t>- 22 -</w:t>
      </w:r>
    </w:p>
    <w:p>
      <w:r>
        <w:rPr>
          <w:b/>
        </w:rPr>
        <w:t>E. 4.2.7</w:t>
      </w:r>
    </w:p>
    <w:p>
      <w:r>
        <w:t>En vertu de l’art 135 al. 1bis CP, celui qui est reconnu coupable de représentation de la violence sera puni d’une peine privative de liberté d’un an au plus ou de l’amende.</w:t>
      </w:r>
    </w:p>
    <w:p>
      <w:r>
        <w:rPr>
          <w:b/>
        </w:rPr>
        <w:t>E. 4.3</w:t>
      </w:r>
    </w:p>
    <w:p>
      <w:r>
        <w:t>En l’espèce, le Tribunal correctionnel a infligé à l’appelant une peine privative de liberté de 13 mois, dont 6 mois à exécuter et 7 mois avec sursis, avec un délai d’épreuve de 2 ans, pour sanctionner les crimes d’actes d’ordre sexuel avec des enfants et de contrainte sexuelle. La culpabilité a été qualifiée de lourde en raison du mobile sexuel égoïste, de l’absence totale de préoccupation pour le mal fait à la victime, une enfant qu’il connaissait bien et envers laquelle il n’a manifesté aucune empathie et même une totale indifférence. Les premiers juges ont également tenu compte de la mise en échec de la procédure pénale par son départ de Suisse en 2004, vraisemblablement pour fuir ses responsabilités et les conséquences de ses actes. A sa décharge, les premiers juges ont pris en compte l’écoulement du temps et la situation personnelle du prévenu (jugement, p. 25). Le Tribunal correctionnel a également condamné l’appelant à une amende de 800 fr. pour sanctionner le délit de représentation de la violence (jugement, p. 26). La culpabilité de l’appelant est effectivement lourde, l’acte sexuel accompli en contraignant l’enfant par la force, coincée contre la porte intérieure d’un local clos et déshabillée de force, étant similaire à un début de viol, le sexe de l’auteur ayant été mis en contact avec le sexe de sa victime. Cette proximité de la contrainte sexuelle avec le viol, dont le genre de sanction exclut la peine pécuniaire, impose une sanction sous la forme d’une peine privative de liberté. De plus, le crime a été commis à l’encontre d’une fillette particulièrement vulnérable et choisie comme telle par l’abuseur, soit une victime âgée de sept ans, fille d’une mère équatorienne, vivant seule avec sa fille et dans la clandestinité, puisqu’elles n’avaient pas de titre de séjour en Suisse. D.________ a indiqué à la police, lors de son audition du 30 juin 2006, qu’à son avis, L.________ pensait qu’elle ne dénoncerait jamais les faits à la police, car il savait</w:t>
      </w:r>
    </w:p>
    <w:p>
      <w:r>
        <w:t>- 23 - qu’elle était sans papiers (PV aud. 2, p. 5). Lors de l’audience d’appel, l’appelant a confirmé qu’il connaissait le statut illégal de la mère et de sa fille. Ce choix dénote un calcul d’impunité particulièrement ignoble. Le mode opératoire adopté consistant à isoler l’enfant pour l’abuser en toute quiétude, puis de s’assurer de son silence en lui faisant valoir qu’une révélation la compromettrait auprès de sa mère, dénote lâcheté et bassesse. Quant au comportement de l’appelant durant l’enquête, il ne s’est pas borné à nier, mais il a traité la victime de menteuse (jugement, p. 16) et a suggéré que la dénonciation aurait été le fruit d’une vengeance de la mère de la victime, qui avait été en couple avec sa sœur (PV aud. 6, p. 3). En ce qui concerne l’éventuelle réduction de peine fondée sur l’art. 48 let. e CP, celle-ci devrait se baser sur le délai de prescription de l’infraction la plus grave, soit la contrainte sexuelle, qui est de 15 ans (art. 97 al. 1 let. b et 189 CP). Le crime s’est produit en avril 2004 et le jugement de première instance a été rendu le 22 mars 2019, soit quelques jours avant l’éventuelle acquisition de la prescription. A titre superfétatoire, l’art. 101 al. 1 let. e CP rend imprescriptibles les actes d’ordre sexuels et la contrainte sexuelle commis sur un enfant de moins de 12 ans. La disposition transitoire de l’al. 3 impose cette imprescribilité si l’action pénale n’était pas prescrite le 30 novembre 2008 selon le droit applicable à l’époque des faits. En l’occurrence, l’art. 70 al. 1 aCP, dans sa teneur en vigueur depuis le 1er octobre 2002 (RO [Recueil officiel] 2002 2993 2996), prévoyait notamment qu’en cas d’actes d’ordre sexuel avec des enfants et de contrainte sexuelle dirigée contre un enfant de moins de 16 ans, la prescription de l’action pénale courrait en tout cas jusqu’au jour où la victime avait 25 ans. Ainsi, de toute manière, lors du jugement de première instance, la prescription des crimes sexuels n’étaient pas encore atteinte. Il n’y a donc pas lieu d’atténuer la peine en application de l’art. 101 al. 2 CP, les infractions n’étant pas prescrites en vertu de l’art. 97 CP.</w:t>
      </w:r>
    </w:p>
    <w:p>
      <w:r>
        <w:t>- 24 - Toujours est-il que le délai de presque 15 ans entre la commission des faits et le jugement doit être qualifié de long et imposait en principe de mettre l’appelant au bénéfice de la circonstance atténuante prévue par l’art. 48 let. e CP. Pourtant, force est de constater que le prévenu ne s’est pas bien comporté dans l’intervalle, puisqu’il a commis le délit de l’art. 135 CP en août 2017. Par ailleurs, il s’est enfui à l’étranger pour échapper à la justice pénale suisse, cette intention résultant clairement de son refus de communiquer à la mère de ses enfants demeurée à Lausanne tout élément permettant de le localiser. Le grief de violation de l’art. 48 let. e CP est donc infondé. Cela étant, il y a tout de même lieu de tenir compte de l’écoulement du temps dans la fixation de la peine conformément à l’art. 47 CP. Si la cause avait pu être jugée dans des délais usuels, la sanction aurait été de 13 mois pour la contrainte sexuelle et d’un supplément de 7 mois pour les actes d’ordre sexuel, la victime ayant été traumatisée et durement marquée par ces faits. Compte tenu surtout de l’écoulement du temps, il est justifié de réduire cette quotité de 20 mois à 13 mois de peine privative de liberté. Au regard de ces éléments, le choix du genre et de la quotité de la peine doivent être confirmés.</w:t>
      </w:r>
    </w:p>
    <w:p>
      <w:r>
        <w:rPr>
          <w:b/>
        </w:rPr>
        <w:t>E. 5.1</w:t>
      </w:r>
    </w:p>
    <w:p>
      <w:r>
        <w:t>L’appelant revendique l’octroi du sursis total, insistant sur son absence de condamnation pénale ainsi que de dettes. Il rappelle qu’il exerce une activité lucrative et que les experts psychiatres ont conclu à un risque de récidive faible. Il estime disposer d’un large cercle familial, avec qui il entretiendrait d’excellents rapports. Enfin, il invoque l’ancienneté des faits, sans réitération spéciale depuis lors. Il se prévaut également du fait que, lors de la saisine de l’autorité intimée, le Ministère public avait exclu un pronostic défavorable, ayant proposé une peine privative de liberté de 8 mois avec sursis total durant 2 ans, selon l’acte d’accusation du 9 juillet 2018.</w:t>
      </w:r>
    </w:p>
    <w:p>
      <w:r>
        <w:t>- 25 -</w:t>
      </w:r>
    </w:p>
    <w:p>
      <w:r>
        <w:rPr>
          <w:b/>
        </w:rPr>
        <w:t>E. 5.2</w:t>
      </w:r>
    </w:p>
    <w:p>
      <w:r>
        <w:t>Selon l’art. 41 ch. 1 premier paragraphe aCP – dans sa teneur en vigueur depuis le 1er juillet 1971 (RO [Recueil officiel] 1971 777 807) –, en cas de condamnation à une peine privative de liberté n’excédant pas 18 mois ou à une peine accessoire, le juge pourra suspendre l’exécution de la peine, si les antécédents et le caractère du condamné font prévoir que cette mesure le détournera de commettre d’autres crimes ou délits et s’il a réparé, autant qu’on pouvait l’attendre de lui, le dommage fixé judiciairement ou par accord avec le lésé. Dans sa teneur actuelle, l'art. 42 al. 1 CP dispose que le juge suspend en règle générale l'exécution d'une peine privative de liberté de deux ans au plus lorsqu'une peine ferme ne paraît pas nécessaire pour détourner l'auteur d'autres crimes ou délits (al. 1). Sur le plan subjectif, le juge doit poser un pronostic quant au comportement futur de l'auteur. La question de savoir si le sursis serait de nature à détourner l'accusé de commettre de nouvelles infractions doit être tranchée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(TF 6B_888/2015 du 2 mai 2016 consid. 3.3.2 ; ATF 134 IV 53, consid. 3.3.1 non publié ; ATF 128 IV 193 consid. 3a ; ATF 118 IV 97 consid. 2b). Dans cet examen, le juge du fait dispose d'un large pouvoir d'appréciation (ATF 119 IV 195 consid. 3b et les réf. citées). A cet égard, la prise de conscience de sa faute par l'auteur est déterminante (TF 6B_171/2007 du 23 juillet 2007 consid. 4). Aux termes de l'art. 43 al. 1 CP, le juge peut suspendre partiellement l'exécution d'une peine privative de liberté d'un an au moins et de trois ans au plus afin de tenir compte de façon appropriée de la faute de l'auteur.</w:t>
      </w:r>
    </w:p>
    <w:p>
      <w:r>
        <w:t>- 26 -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w:t>
      </w:r>
    </w:p>
    <w:p>
      <w:r>
        <w:rPr>
          <w:b/>
        </w:rPr>
        <w:t>E. 5.3</w:t>
      </w:r>
    </w:p>
    <w:p>
      <w:r>
        <w:t>En l’espèce, les premiers juges ont posé un pronostic mitigé en raison de l’absence de prise de conscience, pondéré par l’absence d’infraction commise entre 2005 et 2017 (jugement, p. 26), sous réserve de la contravention de l’art. 135 al. 1bis CP. L’appelant ne s’est pas contenté de nier par peur de la sanction ou par crainte que sa réputation auprès de ses proches soit compromise, mais il a consciemment tenté d’induire la justice en erreur, rejeté la faute sur sa victime qu’il a traitée de menteuse ou la mère de celle-ci qu’il a présenté comme voulant se venger de lui au travers de fausses accusations relayées par sa fille. Il a ainsi démontré une absence particulière de scrupules, qui ne permet pas d’espérer qu’une peine avec sursis suffira à le détourner durablement de la délinquance (cf. Dupuis et alii, Petit commentaire CP, 2e éd., Bâle 2017, n. 13 ad art. 42 CP). D’un autre côté, comme relevé par les premiers juges, l’appelant n’a pas récidivé dans le domaine sexuel depuis plus d’une décennie, à la connaissance des autorités, et à dire d’experts, le risque de récidive qu’il</w:t>
      </w:r>
    </w:p>
    <w:p>
      <w:r>
        <w:t>- 27 - présente est faible. Dans cette configuration, le pronostic mitigé des premiers juges est bien fondé et doit être confirmé.</w:t>
      </w:r>
    </w:p>
    <w:p>
      <w:r>
        <w:rPr>
          <w:b/>
        </w:rPr>
        <w:t>E. 6</w:t>
      </w:r>
    </w:p>
    <w:p>
      <w:r>
        <w:t>L’appelant conteste les prétentions civiles allouées à la victime uniquement dans la mesure où il plaide son acquittement. Sa condamnation devant être confirmée, ce grief est infondé.</w:t>
      </w:r>
    </w:p>
    <w:p>
      <w:r>
        <w:rPr>
          <w:b/>
        </w:rPr>
        <w:t>E. 7</w:t>
      </w:r>
    </w:p>
    <w:p>
      <w:r>
        <w:t>Au vu de ce qui précède, l’appel doit être rejeté et le jugement entrepris intégralement confirmé. Le défenseur d’office de l’appelant, Me Loïc Parein, a produit une liste d’opérations faisant état d’une durée de 17 heures et 22 minutes d’activité consacrées par un avocat-stagiaire et de 22 minutes consacrées par un avocat breveté (P. 62), dont il n’y a pas lieu de s’écarter, hormis l’ajout de l’audience d’appel qui a duré 47 minutes, temps consacré par un avocat-stagiaire. Au tarif de 180 fr. de l’heure pour un avocat breveté et de 110 fr. de l’heure pour un avocat-stagiaire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2'062 fr. 50 à titre d’honoraires. A cela s’ajoute un forfait pour les débours de 2% (cf. art. 26b TFIP qui renvoie à l'art. 3bis RAJ), par 41 fr. 25, une vacation par 80 fr., ainsi que la TVA sur le tout, au taux de 7,7%, par 168 fr. 15. Partant, une indemnité d’un montant total de 2'351 fr. 90 sera allouée à Me Loïc Parein. Il y également lieu d’allouer à Me Regina Andrade Ortuno, conseil juridique gratuit de la partie plaignante, une indemnité à fixer d’office, dès lors qu’elle a renoncé à produire une liste des opérations (cf. P. 60), qui peut être fixée à 790 fr. 95. Ce montant comprend des honoraires par 720 fr. (4 heures à 180 fr./h), des débours forfaitaires par</w:t>
      </w:r>
    </w:p>
    <w:p>
      <w:r>
        <w:t>- 28 - 14 fr. 40 (cf. art. 26b TFIP qui renvoie à l'art. 3bis RAJ), et la TVA sur le tout, au taux de 7,7%, par 56 fr. 55. Vu l’issue de la cause, les frais de la procédure d’appel, totalisant 5’742 fr. 85 – constitués de l’émolument de jugement, par 2’600 fr. (art. 21 al. 1 et 2 TFIP), ainsi que des indemnités allouées au défenseur d’office de l’appelant, par 2’351 fr. 90, et au conseil juridique gratuit de la partie plaignante, par 790 fr. 95 –, doivent être mis à la charge de l’appelant L.________, qui succombe (art. 428 al. 1 CPP). Le remboursement à l'Etat des indemnités d'office ne sera exigible que pour autant que la situation économique de l’appelant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