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PE04.041221 vom 18. Januar 2006</w:t>
      </w:r>
    </w:p>
    <w:p>
      <w:r>
        <w:t>VD Tribunal cantonal, 2006-01-18, FR</w:t>
      </w:r>
    </w:p>
    <w:p>
      <w:r>
        <w:rPr>
          <w:b/>
        </w:rPr>
        <w:t xml:space="preserve">Quelle: </w:t>
      </w:r>
      <w:r>
        <w:t>https://mcp.opencaselaw.ch/entscheid/vd_gerichte_PE04.041221</w:t>
      </w:r>
    </w:p>
    <w:p>
      <w:r>
        <w:t>FR: VD_GERICHTE PE04.041221 du 18 janvier 2006</w:t>
      </w:r>
    </w:p>
    <w:p>
      <w:r>
        <w:t>IT: VD_GERICHTE PE04.041221 del 18 gennaio 2006</w:t>
      </w:r>
    </w:p>
    <w:p>
      <w:pPr>
        <w:pStyle w:val="Heading2"/>
      </w:pPr>
      <w:r>
        <w:t>Erwägungen</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w:t>
      </w:r>
    </w:p>
    <w:p>
      <w:r>
        <w:t>- 3 - sévère du condamné ou encore la condamnation de la personne acquittée (art. 410 al. 1 let. a CPP [Code de procédure pénale suisse du 5 octobre 2007 ; RS 312.0]). Dans cette hypothèse, la demande de révision n’est soumise à aucun délai (art. 411 al. 2, 2e phrase, CPP).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 ; TF 6B_426/2018 du 5 juillet 2018 consid. 3.2).</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w:t>
      </w:r>
    </w:p>
    <w:p>
      <w:r>
        <w:t>- 4 - d’irrecevabilité (Moreillon/Parein-Reymond, Petit commentaire, Code de procédure pénale, 2e éd., Bâle 2016, n. 3 ad art. 412 CPP).</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consid. 1.1).</w:t>
      </w:r>
    </w:p>
    <w:p>
      <w:r>
        <w:rPr>
          <w:b/>
        </w:rPr>
        <w:t>E. 2</w:t>
      </w:r>
    </w:p>
    <w:p>
      <w:r>
        <w:t>En l’espèce, dans son acte du 8 juillet 2019, R.________ expose, pour uniques motifs : « [l]e jugement viole le droit, et j’ai fait l’objet d’une détention arbitraire ». Il se borne à conclure à la révision du jugement du 18 janvier 2006, sans frais. Ce faisant, le requérant ne rend pas vraisemblable l’existence d’un motif de révision. Il n’invoque aucun fait ni moyen de preuve nouveau et sérieux, se contentant de faire part de sa propre appréciation de la situation.</w:t>
      </w:r>
    </w:p>
    <w:p>
      <w:r>
        <w:rPr>
          <w:b/>
        </w:rPr>
        <w:t>E. 3</w:t>
      </w:r>
    </w:p>
    <w:p>
      <w:r>
        <w:t>Il résulte de ce qui précède que la demande de révision, qui apparaît d’emblée manifestement mal fondée, doit être déclarée irrecevable, sans autre échange d’écritures (art. 412 al. 2 et 3 CPP). Les frais de la procédure de révision, par 330 fr. (art. 21 al. 1 et 22 TFIP [Tarif des frais de procédure et indemnités en matière pénale du 28 septembre 2010 ; BLV 312.03.1]), seront mis à la charge du requérant, qui succombe (art. 428 al. 1, 2e phrase, CPP).</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