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PD21.048268 vom 7. März 2023</w:t>
      </w:r>
    </w:p>
    <w:p>
      <w:r>
        <w:t>VD Tribunal cantonal, 2023-03-07, FR</w:t>
      </w:r>
    </w:p>
    <w:p>
      <w:r>
        <w:rPr>
          <w:b/>
        </w:rPr>
        <w:t xml:space="preserve">Quelle: </w:t>
      </w:r>
      <w:r>
        <w:t>https://mcp.opencaselaw.ch/entscheid/vd_gerichte_PD21.048268</w:t>
      </w:r>
    </w:p>
    <w:p>
      <w:r>
        <w:t>FR: VD_GERICHTE PD21.048268 du 7 mars 2023</w:t>
      </w:r>
    </w:p>
    <w:p>
      <w:r>
        <w:t>IT: VD_GERICHTE PD21.048268 del 7 marzo 2023</w:t>
      </w:r>
    </w:p>
    <w:p>
      <w:pPr>
        <w:pStyle w:val="Heading2"/>
      </w:pPr>
      <w:r>
        <w:t>Erwägungen</w:t>
      </w:r>
    </w:p>
    <w:p>
      <w:r>
        <w:rPr>
          <w:b/>
        </w:rPr>
        <w:t>E. 3.1</w:t>
      </w:r>
    </w:p>
    <w:p>
      <w:r>
        <w:t>La recourante reproche à la présidente de lui avoir alloué des dépens d’un montant identique à l’indemnité de son conseil d’office, arrêtée à 5’060 fr. 90. Elle expose à ce titre que la valeur litigieuse de la procédure était de 232’700 fr. et que les heures annoncées dans la liste des opérations s’élevaient à 26 heures et 6 minutes, lesquelles devaient être intégralement indemnisées au tarif horaire de 350 fr., dès lors qu’il</w:t>
      </w:r>
    </w:p>
    <w:p>
      <w:r>
        <w:t>- 5 - n’y aurait pas matière à retrancher des heures pour l’allocation de dépens. Au vu de ces éléments, la recourante soutient que les dépens devraient être arrêtés à 9’100 fr., réduits à 8’000 fr. comme cela ressort de ses conclusions prises en première instance. Quant à l’intimé, il soutient que le montant alloué par la présidente serait amplement suffisant à couvrir les prestations qui auraient été effectuées dans le cadre de ce dossier.</w:t>
      </w:r>
    </w:p>
    <w:p>
      <w:r>
        <w:rPr>
          <w:b/>
        </w:rPr>
        <w:t>E. 3.2.1</w:t>
      </w:r>
    </w:p>
    <w:p>
      <w:r>
        <w:t>Aux termes de l’art. 106 CPC, les frais – qui comprennent les frais judiciaires et les dépens (art. 95 al. 1 CPC) – sont mis à la charge de la partie succombante. La partie succombante est le demandeur lorsque le tribunal n’entre pas en matière et en cas de désistement d’action (al. 1). Lorsqu’aucune des parties n’obtient entièrement gain de cause, les frais sont répartis selon le sort de la cause (al. 2).</w:t>
      </w:r>
    </w:p>
    <w:p>
      <w:r>
        <w:rPr>
          <w:b/>
        </w:rPr>
        <w:t>E. 3.2.2</w:t>
      </w:r>
    </w:p>
    <w:p>
      <w:r>
        <w:t>Les dépens, qui font parties des frais (art. 95 al. 1 CPC), sont une indemnité de procédure mise à la charge d’un plaideur en faveur de l’autre pour le dédommager des dépenses ou du manque à gagner occasionné par le procès (Tappy, CR-CPC, 2e éd., n. 21 ad art. 95 CPC). Selon l’art. 95 al. 3 CPC, ils comprennent les débours nécessaires (let. a), le défraiement d’un mandataire professionnel (let. b) et, lorsqu’une partie n’a pas de représentant professionnel, une indemnité équitable pour les démarches effectuées, dans les cas où cela se justifie (let. c). Le défraiement d’un représentant professionnel, au sens de l’art. 95 al. 3 let. b CPC, vise essentiellement les frais d’avocat. Les dépens alloués à ce titre doivent en principe couvrir l’entier des frais liés à la consultation d’un avocat (Tappy, CR-CPC, n. 30 ad art. 95 CPC). Conformément à l’art. 9 al. 1 TDC (tarif des dépens en matière civile du 23 novembre 2010 ; BLV 270.11.6), dans les contestations portant sur des affaires non patrimoniales, le défraiement est de 600 à</w:t>
      </w:r>
    </w:p>
    <w:p>
      <w:r>
        <w:t>- 6 - 50’000 fr. en première instance, en fonction de l’importance et de la difficulté de la cause ainsi que selon le travail effectué.</w:t>
      </w:r>
    </w:p>
    <w:p>
      <w:r>
        <w:rPr>
          <w:b/>
        </w:rPr>
        <w:t>E. 3.2.3</w:t>
      </w:r>
    </w:p>
    <w:p>
      <w:r>
        <w:t>Selon l’art. 105 al. 2 CPC, également repris à l’art. 3 al. 5 TDC, les parties peuvent produire une liste de frais. Il n’existe aucun devoir du juge de requérir de la partie une telle liste de frais avant de statuer sur les dépens (TF 5A_749/2019 du 15 novembre 2019 consid. 3.3 ; TF 5A_457/2019 du 13 mars 2020 consid. 3.4.2). Si les parties ne déposent pas de liste de frais, le tribunal fixe les dépens en fonction de son pouvoir d’appréciation et sur la base du tarif (ATF 140 III 444 consid. 3.2.2). Le juge n’est pas lié par les listes produites et reste libre d’estimer l’étendue des opérations nécessaires (CREC 9 août 2021/217 consid. 3.1.2 ; CREC 28 juin 2013/227 consid. 3a).</w:t>
      </w:r>
    </w:p>
    <w:p>
      <w:r>
        <w:rPr>
          <w:b/>
        </w:rPr>
        <w:t>E. 3.3</w:t>
      </w:r>
    </w:p>
    <w:p>
      <w:r>
        <w:t>La présidente a tout d’abord fixé l’indemnité du conseil d’office de la recourante, en fonction de la liste des opérations produite, et a retranché 1 heure et 50 minutes – correspondant aux heures facturées avant l’octroi de l’assistance judiciaire – sur les 26 heures et 6 minutes annoncées. Après avoir fixé à 5’060 fr. 90 l’indemnité du conseil d’office de la recourante, elle a ensuite arrêté les dépens de première instance au même montant, sans autre motivation.</w:t>
      </w:r>
    </w:p>
    <w:p>
      <w:r>
        <w:rPr>
          <w:b/>
        </w:rPr>
        <w:t>E. 3.4</w:t>
      </w:r>
    </w:p>
    <w:p>
      <w:r>
        <w:t>En l’espèce, comme relevé ci-avant, le litige porte sur une demande en modification de jugement de divorce. Une telle procédure est soumise à la procédure ordinaire (art. 219 et 284 al. 3 CPC), de sorte que l’art. 9 TDC s’applique. Les dépens dus par la partie adverse doivent être fixés selon le tarif applicable aux avocats de choix. Si le bénéficiaire de l’assistance judiciaire obtient gain de cause, il est arbitraire de réduire la créance de dépens en appliquant le tarif pour l’indemnisation des avocats d’office par l’Etat (ATF 121 I 113 consid. 3d, JdT 1997 IV 96), de sorte que des dépens plus élevés que l’indemnité d’assistance judiciaire auraient dû être alloués à la recourante. En revanche, contrairement à ce qu’elle prétend, la présidente n’était pas liée par la liste des opérations produite et restait</w:t>
      </w:r>
    </w:p>
    <w:p>
      <w:r>
        <w:t>- 7 - ainsi libre d’estimer l’étendue des opérations nécessaires dont l’indemnisation était requise. Au vu de ces éléments, et compte tenu du stade peu avancé de la procédure lorsque le désistement a eu lieu et des questions relativement simples qui se posaient, les dépens seront arrêtés à 6’500 fr., ce qui correspond à environ 17 heures de travail au tarif horaire de 350 fr., débours, vacation et TVA compris. Il est en outre relevé que, conformément à la nouvelle jurisprudence du Tribunal fédéral (TF 4A_106/2021 du 8 août 2022 consid. 3.4), les dépens seront directement alloués au conseil d’office de la recourante, Me Damien Hottelier.</w:t>
      </w:r>
    </w:p>
    <w:p>
      <w:r>
        <w:rPr>
          <w:b/>
        </w:rPr>
        <w:t>E. 4.1</w:t>
      </w:r>
    </w:p>
    <w:p>
      <w:r>
        <w:t>En définitive, le recours doit être partiellement admis et le prononcé réformé en ce sens que le chiffre V de son dispositif sera modifié, les dépens étant arrêtés à 6’500 francs. Le prononcé est confirmé pour le surplus.</w:t>
      </w:r>
    </w:p>
    <w:p>
      <w:r>
        <w:rPr>
          <w:b/>
        </w:rPr>
        <w:t>E. 4.2.1</w:t>
      </w:r>
    </w:p>
    <w:p>
      <w:r>
        <w:t>Selon l’art. 106 al. 1 CPC, les frais sont mis à la charge de la partie qui succombe.</w:t>
      </w:r>
    </w:p>
    <w:p>
      <w:r>
        <w:rPr>
          <w:b/>
        </w:rPr>
        <w:t>E. 4.2.2</w:t>
      </w:r>
    </w:p>
    <w:p>
      <w:r>
        <w:t>Les frais judiciaires de deuxième instance, arrêtés à 200 fr. (art. 69 al. 1 et 70 al. 3 TFJC [tarif des frais judiciaires civils du 28 septembre 2010 ; BLV 270.11.5]), sont mis par moitié à la charge des parties, soit à hauteur de 100 fr. chacune, la recourante obtenant partiellement gain de cause (art. 106 al. 2 CPC). Les dépens de deuxième instance seront en outre compensés. Partant, l’intimé versera à la recourante la somme de 100 fr. à titre de restitution partielle d’avance de frais de deuxième instance.</w:t>
      </w:r>
    </w:p>
    <w:p>
      <w:r>
        <w:t>- 8 - Par ces motifs, la Chambre des recours civile du Tribunal cantonal, prononce : I. Le recours est partiellement admis. II. Le prononcé est réformé au chiffre V de son dispositif comme il suit : V. dit que B.P.________ est le débiteur de Me Damien Hottelier, conseil d’office de A.P.________, de la somme de 6’500 fr. (six mille cinq cents francs) à titre de dépens. Il est confirmé pour le surplus. III. Les frais judiciaires de deuxième instance, arrêtés à 200 fr., sont mis à la charge de la recourante A.P.________ par 100 fr. (cent francs) et à la charge de l’intimé B.P.________ par 100 fr. (cent francs). IV. L’intimé B.P.________ doit verser à la recourante A.P.________ la somme de 100 fr. (cent francs) à titre de restitution partielle d’avance de frais de deuxième instance. V. Les dépens de deuxième instance sont compensés. VI. L’arrêt est exécutoire. La présidente : La greffière :</w:t>
      </w:r>
    </w:p>
    <w:p>
      <w:r>
        <w:t>- 9 - Du L’arrêt qui précède, dont la rédaction a été approuvée à huis clos, est notifié à : - Me Damien Hottelier (pour A.P.________), - Me Astyanax Peca (pour B.P.________).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