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PD19.005949 vom 24. Oktober 2019</w:t>
      </w:r>
    </w:p>
    <w:p>
      <w:r>
        <w:t>VD Tribunal cantonal, 2019-10-24, FR</w:t>
      </w:r>
    </w:p>
    <w:p>
      <w:r>
        <w:rPr>
          <w:b/>
        </w:rPr>
        <w:t xml:space="preserve">Quelle: </w:t>
      </w:r>
      <w:r>
        <w:t>https://mcp.opencaselaw.ch/entscheid/vd_gerichte_PD19.005949</w:t>
      </w:r>
    </w:p>
    <w:p>
      <w:r>
        <w:t>FR: VD_GERICHTE PD19.005949 du 24 octobre 2019</w:t>
      </w:r>
    </w:p>
    <w:p>
      <w:r>
        <w:t>IT: VD_GERICHTE PD19.005949 del 24 ottobre 2019</w:t>
      </w:r>
    </w:p>
    <w:p>
      <w:pPr>
        <w:pStyle w:val="Heading2"/>
      </w:pPr>
      <w:r>
        <w:t>Erwägungen</w:t>
      </w:r>
    </w:p>
    <w:p>
      <w:r>
        <w:rPr>
          <w:b/>
        </w:rPr>
        <w:t>E. 3.1</w:t>
      </w:r>
    </w:p>
    <w:p>
      <w:r>
        <w:t>La présente procédure provisionnelle tend à la modification des contributions dues pour l’entretien des deux enfants mineurs des parties selon jugement de divorce rendu le 16 mars 2018 par le Tribunal d’arrondissement de Lausanne. Dès lors que les enfants ont depuis lors déménagé en France avec leur mère, le père – débiteur des créances d’entretien – continuant à être domicilié en Suisse, cette cause présente un caractère d’extranéité qui peut influer sur la compétence des autorités judiciaires ainsi que sur le droit applicable. Aux termes de l’art. 64 al. 1 LDIP (loi fédérale sur le droit international privé du 18 décembre 1987 ; RS 291), les tribunaux suisses sont compétents pour connaître d'une action en complément ou en modification d'un jugement de divorce ou de séparation de corps s'ils ont prononcé ce jugement ou s'ils sont compétents en vertu des art. 59 ou 60 LDIP (art. 64 al. 1 LDIP). L'obligation alimentaire des enfants relève de la compétence du juge de la modification du jugement de divorce (ATF 124 III 176, JdT 1999 I 35 ; Bucher, Commentaire romand, LDIP et Convention de Lugano [ci-après : CR-LDIP], Bâle 2011, n. 22 ad art. 64 LDIP). L’art. 62 LDIP, concernant les mesures provisoires, s’applique par analogie lorsque le juge suisse est saisi d’une action en complément ou en modification d’un jugement de divorce (ATF 116 II 97, JdT 1992 I 675 ; Dutoit, Droit international privé suisse, Commentaire de la loi fédérale du 18 décembre 1987, 5e éd., 2016, n. 5 ad art. 62 LDIP et les réf. cit.). Aux termes de l’alinéa 1 de cette disposition, le tribunal suisse saisi d'une action en divorce ou en séparation de corps est compétent pour ordonner des mesures provisoires, sauf si son incompétence pour statuer au fond est manifeste ou a été constatée par une décision ayant force de chose jugée. Quant au droit applicable, l’art. 64 al. 2 LDIP – qui dispose que le droit suisse régit l'action en complément ou en modification du divorce – réserve les dispositions en matière d’effets de la filiation, soit les art. 82 et</w:t>
      </w:r>
    </w:p>
    <w:p>
      <w:r>
        <w:t>- 10 - 83 LDIP. En matière de mesures provisoires, la jurisprudence a précisé que le droit applicable au mérite de la requête, et au droit de la former, n'était pas déterminé par les art. 64 al. 1, 59, 60 et 62 al. 1 LDIP, mais bien par l'art. 62 al. 2 LDIP, soit le droit suisse (ATF 116 II 97 précité, consid. 4b ; Bucher, Le couple en droit international privé, 2004, n. 336. p. 121). Pour ce qui est toutefois du droit applicable au fond relatif à l’entretien des époux et aux relations avec les enfants, il convient de se référer au droit désigné par les règles de conflit propres à chaque matière, conformément à la réserve prévue à l'art. 62 al. 3 LDIP, soit notamment l’art. 83 al. 1 LDIP qui dispose que l'obligation alimentaire entre parents et enfant est régie par la Convention de La Haye du 2 octobre 1973 sur la loi applicable aux obligations alimentaires (RS 0.211.213.01) (Bucher/Bonomi, Droit international privé, 3e éd. Zurich 2013, n. 697 p. 195 ; Bucher, CR- LDIP, n. 19 ad art. 62 LDIP). L'art. 4 de cette convention consacre le principe de l'application de la loi interne de la résidence habituelle de l'enfant (ibid., n. 30 ad art. 64 LDIP). Enfin, si l’art. 8 al. 1 précise que, par dérogation aux art. 4 à 6, la loi appliquée au divorce régit dans l'Etat contractant où celui-ci est prononcé ou reconnu, les obligations alimentaires entre époux divorcés et la révision des décisions relatives à ces obligations, le Tribunal fédéral a précisé que cette disposition ne s'appliquait qu'aux obligations alimentaires entre époux, non aux contributions en faveur des enfants (TF 5A_835/2011 du 12 mars 2012 consid. 2).</w:t>
      </w:r>
    </w:p>
    <w:p>
      <w:r>
        <w:rPr>
          <w:b/>
        </w:rPr>
        <w:t>E. 3.2</w:t>
      </w:r>
    </w:p>
    <w:p>
      <w:r>
        <w:t>En l’espèce, dès lors que le Tribunal d’arrondissement de Lausanne a prononcé le divorce des parties, il est compétent pour connaître de l’action en modification du jugement de divorce et partant pour ordonner les mesures provisionnelles. En vertu de l’art. 62 al. 2 LDIP, le droit suisse est dès lors applicable au mérite de la présente procédure de mesures provisionnelles, les parties ne remettant au demeurant nullement en cause l’application de ce droit.</w:t>
      </w:r>
    </w:p>
    <w:p>
      <w:r>
        <w:t>- 11 -</w:t>
      </w:r>
    </w:p>
    <w:p>
      <w:r>
        <w:rPr>
          <w:b/>
        </w:rPr>
        <w:t>E. 4.1</w:t>
      </w:r>
    </w:p>
    <w:p>
      <w:r>
        <w:t>L’appelante, qui ne conteste pas que le déménagement en France voisine et son remariage constituent un changement notable et durable de la situation depuis le prononcé du jugement de divorce intervenu le 16 mars 2018, fait valoir qu’il ne se justifie pas de modifier les contributions d’entretien fixées dans ce jugement, dès lors que la situation financière des créanciers ne se serait pas concrètement améliorée. Elle conclut en conséquence à ce que les contributions d’entretien fixées à titre provisionnel le soient à hauteur des montants prévu par le jugement de divorce, soit 750 fr. par mois pour chacun des enfants.</w:t>
      </w:r>
    </w:p>
    <w:p>
      <w:r>
        <w:rPr>
          <w:b/>
        </w:rPr>
        <w:t>E. 4.2.1</w:t>
      </w:r>
    </w:p>
    <w:p>
      <w:r>
        <w:t>Selon l'art. 286 al. 2 CC (Code civil suisse du 10 décembre 1907 ; RS 210),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131 III 189 consid. 2.7.4, JdT 2005 I 324 ; ATF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procédure de modification ne doit pas viser à réexaminer ou corriger le jugement de divorce, mais à l'adapter aux circonstances nouvelles survenues chez les parents ou chez l'enfant (ATF 131 III 189 consid. 2.7.4 ; ATF 120 II 177 consid. 3a).</w:t>
      </w:r>
    </w:p>
    <w:p>
      <w:r>
        <w:t>- 12 - Lorsqu'il admet que les conditions d’une modification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(ATF 138 III 289 consid. 11.1.1 ; cf. dans ce sens au sujet de la contribution d’entretien d’un enfant : ATF 137 III 604 consid. 4.1.2 ; TF 5A_477/2014 du 16 décembre 2014 consid. 4.1 ; TF 5A_260/2016 du 14 octobre 2016 consid. 2.1.2 ; TF 5A_760/2016 du 5 septembre 2017 consid. 5.1).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5A_762/2015 du 8 avril 2016 consid. 4.2).</w:t>
      </w:r>
    </w:p>
    <w:p>
      <w:r>
        <w:rPr>
          <w:b/>
        </w:rPr>
        <w:t>E. 4.2.2</w:t>
      </w:r>
    </w:p>
    <w:p>
      <w:r>
        <w:t>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5A_274/2016 du 26 août 2016 consid 4.1 ; TF 5A_641/2015 du 3 mars 2016 condid. 4.1 et les réf. citées). Le jugement de divorce entré en force produit ses effets et est exécutoire aussi longtemps que le jugement sur la modification n'est pas devenu lui-même définitif ; dans ces conditions,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II 228 consid. 3b et les réf. citées).</w:t>
      </w:r>
    </w:p>
    <w:p>
      <w:r>
        <w:t>- 13 -</w:t>
      </w:r>
    </w:p>
    <w:p>
      <w:r>
        <w:rPr>
          <w:b/>
        </w:rPr>
        <w:t>E. 4.3</w:t>
      </w:r>
    </w:p>
    <w:p>
      <w:r>
        <w:t>En l’espèce, l’intimé ne fait nullement état dans sa requête de mesures provisionnelles d’une urgence ou de circonstances particulières qui commanderaient une modification, à titre provisoire, des contributions d’entretien fixées dans le jugement de divorce. Il se borne à invoquer une modification notable et durable de la situation de l’appelante, qui s’est remariée et vit désormais en France, ainsi qu’une diminution substantielle des charges d’entretien des enfants, eu égard au coût de la vie en France. L’intimé ne fait pas valoir une péjoration de sa situation économique ni en particulier que le paiement des contributions d’entretien litigieuses entamerait son minimum vital. Il ne fait pas davantage état, dans sa réponse à l’appel, d’une urgence ou de circonstances particulières pouvant exceptionnellement conduire à la diminution ou la suppression des contributions d’entretien. On peut dès lors exiger de l’intimé qu’il attende l’issue de la procédure en modification du jugement de divorce et qu’il s’acquitte, jusque-là, des prestation mises à sa charge par une décision exécutoire. En conséquence, il y a lieu de considérer que la condition permettant de diminuer ou supprimer à titre provisionnel une pension fixée par jugement de divorce définitif et exécutoire n’est en l’occurrence pas réalisée, de sorte que la requête de mesures provisionnelles aurait dû être rejetée. Vu la maxime d’office applicable à la présente cause, il y a lieu de réformer d’office l’ordonnance entreprise dans ce sens, l’intimé devant continuer à verser pour l’entretien de B.B.________ et C.B.________ la contribution fixée dans le jugement de divorce du 16 mars 2018. Pour le surplus, il y a lieu d’admettre partiellement l’appel en tant qu’il porte sur l’avis aux débiteurs prononcé à l’encontre de l’intimé et de réformer le chiffre III du dispositif de l’ordonnance en ce sens que le montant devant être prélevé mensuellement sur le salaire de l’intimé est de 1'500 fr. et non de 400 francs.</w:t>
      </w:r>
    </w:p>
    <w:p>
      <w:r>
        <w:rPr>
          <w:b/>
        </w:rPr>
        <w:t>E. 05</w:t>
      </w:r>
    </w:p>
    <w:p>
      <w:r>
        <w:t>(art. 3bis al. 1 RAJ) et la TVA sur le tout par 90 fr. 45, soit une indemnité totale de 1'265 fr. 50.</w:t>
      </w:r>
    </w:p>
    <w:p>
      <w:r>
        <w:rPr>
          <w:b/>
        </w:rPr>
        <w:t>E. 5</w:t>
      </w:r>
    </w:p>
    <w:p>
      <w:r>
        <w:t>- 14 -</w:t>
      </w:r>
    </w:p>
    <w:p>
      <w:r>
        <w:rPr>
          <w:b/>
        </w:rPr>
        <w:t>E. 5.1</w:t>
      </w:r>
    </w:p>
    <w:p>
      <w:r>
        <w:t>En conclusion, l’appel doit être admis et l’ordonnance réformée dans le sens qui précède.</w:t>
      </w:r>
    </w:p>
    <w:p>
      <w:r>
        <w:rPr>
          <w:b/>
        </w:rPr>
        <w:t>E. 5.2</w:t>
      </w:r>
    </w:p>
    <w:p>
      <w:r>
        <w:t>L’appelante obtient finalement entièrement gain de cause puisque l’intimé devra continuer à s’acquitter des contributions d’entretien en faveur des enfants fixées par le jugement de divorce. L’intimé, qui voit sa requête de mesures provisionnelles finalement rejetée, succombe entièrement dans ses conclusions libératoires. Vu l’issue du litige (art. 106 al. 1 CPC), les frais judiciaires de deuxième instance, arrêtés à 200 fr. pour l’ordonnance d’effet suspensif (art. 7 al. 1 et 60 TFJC [tarif des frais judiciaires civils du 28 septembre 2010 ; BLV 270.11.5] appliqué par analogie) et à 600 fr. (art. 65 al. 2 TFJC) pour le présent arrêt, soit 800 fr. au total, seront supportés par l’intimé et provisoirement laissés à la charge de l’Etat, dès lors que l’intimé plaide au bénéfice de l’assistance judiciaire (art. 122 al. 1 let. b CPC).</w:t>
      </w:r>
    </w:p>
    <w:p>
      <w:r>
        <w:rPr>
          <w:b/>
        </w:rPr>
        <w:t>E. 5.3</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5.3.1</w:t>
      </w:r>
    </w:p>
    <w:p>
      <w:r>
        <w:t>Me Nadia Calabria, conseil d’office de l’appelante N.________, a indiqué dans sa liste des opérations avoir consacré 6.40 heures à la procédure d’appel. Ce décompte peut être admis, de sorte qu’au tarif horaire de 180 fr. (art. 2 al. 1 let. a RAJ), l’indemnité de Me Calabria doit être arrêtée à 1'152 fr., montant auquel s’ajoutent les débours par 23 fr.</w:t>
      </w:r>
    </w:p>
    <w:p>
      <w:r>
        <w:rPr>
          <w:b/>
        </w:rPr>
        <w:t>E. 5.3.2</w:t>
      </w:r>
    </w:p>
    <w:p>
      <w:r>
        <w:t>Me Yann Jaillet, conseil d’office de l’intimé A.B.________, a produit un décompte faisant état de 4.10 heures de travail. Ce décompte apparaît correct et peut également être admis. L’indemnité de Me Yann Jaillet sera dès lors arrêtée à 738 fr., plus 14 fr. 75 pour ses débours, TVA</w:t>
      </w:r>
    </w:p>
    <w:p>
      <w:r>
        <w:t>- 15 - sur le tout par 57 fr. 95 en sus, soit une indemnité totale de 810 fr. 70.</w:t>
      </w:r>
    </w:p>
    <w:p>
      <w:r>
        <w:rPr>
          <w:b/>
        </w:rPr>
        <w:t>E. 5.3.3</w:t>
      </w:r>
    </w:p>
    <w:p>
      <w:r>
        <w:t>Les bénéficiaires de l’assistance judiciaire sont, dans la mesure de l’art. 123 CPC, tenus au remboursement de l’indemnité à leur conseil d’office respectif et des frais judiciaires provisoirement laissés à la charge de l’Etat.</w:t>
      </w:r>
    </w:p>
    <w:p>
      <w:r>
        <w:rPr>
          <w:b/>
        </w:rPr>
        <w:t>E. 5.4</w:t>
      </w:r>
    </w:p>
    <w:p>
      <w:r>
        <w:t>L’octroi de l’assistance judiciaire ne dispense pas le bénéficiaire de verser des dépens à la partie adverse qui obtient gain de cause (art. 122 al. 1 let. d CPC). En l’espèce, vu l’issue du litige, l’intimé versera à l’appelante de pleins dépens de deuxième instance, qui seront arrêtés à 1'600 fr. (art. 3 al. 2 et 7 TDC [tarif du 23 novembre 2010 des dépens en matière civile ; BLV 270.11.6]). Par ces motifs, la juge déléguée de la Cour d’appel civile prononce : I. L’appel est admis. II. L’ordonnance est réformée comme il suit : I. rejette la requête de mesures provisionnelles déposée le 7 février 2019 par A.B.________ contre N.________ ; II. supprimé ;</w:t>
      </w:r>
    </w:p>
    <w:p>
      <w:r>
        <w:t>- 16 - III. ordonne à [...], [...], [...], ou à tout autre employeur ou prestataire d’assurances sociales ou privées versant des sommes en remplacement de revenus, de retenir mensuellement le montant de CHF 1'500 (mille cinq cents francs) sur le salaire de A.B.________ à titre de pensions dues pour ses enfants B.B.________ et C.B.________, et de verser cette somme sur le compte ouvert auprès de la [...] par N.________ (IBAN [...]), dès et y compris le mois de novembre 2019 ; L’ordonnance est confirmée pour le surplus. III. Les frais judiciaires de deuxième instance, arrêtés à 800 fr. (huit cents francs) pour l’intimé A.B.________, sont provisoirement laissés à la charge de l’Etat. IV. L’indemnité de Me Nadia Calabria, conseil d’office de l’appelante N.________, est arrêtée à 1'265 fr. 50 (mille deux cent soixante-cinq francs et cinquante centimes), TVA et débours compris. V. L’indemnité de Me Yann Jaillet, conseil d’office de l’intimé A.B.________, est arrêtée à 810 fr. 70 (huit cent dix francs et septante centimes), TVA et débours compris. VI. Les bénéficiaires de l’assistance judiciaire sont, dans la mesure de l’art. 123 CPC, tenus au remboursement des frais judiciaires et de l’indemnité aux conseils d’office mis à la charge de l’Etat. VII. L’intimé A.B.________ versera à N.________ un montant de 1'600 fr. (mille six cents francs) à titre de dépens de deuxième instance. VIII. L’arrêt est exécutoire.</w:t>
      </w:r>
    </w:p>
    <w:p>
      <w:r>
        <w:t>- 17 - La juge déléguée : La greffière : Du Le présent arrêt, dont la rédaction a été approuvée à huis clos, est notifié en expédition complète à : - Me Nadia Calabria (pour N.________), - Me Yann Jaillet (pour A.B.________), et communiqué, par l'envoi de photocopies, à : - Mme la Présidente du Tribunal civil de l’arrondissement de Lausanne. Le chiffre III du dispositif est en outre communiqué à : -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