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PD18.019514 vom 26. März 2021</w:t>
      </w:r>
    </w:p>
    <w:p>
      <w:r>
        <w:t>VD Tribunal cantonal, 2021-03-26, FR</w:t>
      </w:r>
    </w:p>
    <w:p>
      <w:r>
        <w:rPr>
          <w:b/>
        </w:rPr>
        <w:t xml:space="preserve">Quelle: </w:t>
      </w:r>
      <w:r>
        <w:t>https://mcp.opencaselaw.ch/entscheid/vd_gerichte_PD18.019514</w:t>
      </w:r>
    </w:p>
    <w:p>
      <w:r>
        <w:t>FR: VD_GERICHTE PD18.019514 du 26 mars 2021</w:t>
      </w:r>
    </w:p>
    <w:p>
      <w:r>
        <w:t>IT: VD_GERICHTE PD18.019514 del 26 marzo 2021</w:t>
      </w:r>
    </w:p>
    <w:p>
      <w:pPr>
        <w:pStyle w:val="Heading2"/>
      </w:pPr>
      <w:r>
        <w:t>Erwägungen</w:t>
      </w:r>
    </w:p>
    <w:p>
      <w:r>
        <w:rPr>
          <w:b/>
        </w:rPr>
        <w:t>E. 5</w:t>
      </w:r>
    </w:p>
    <w:p>
      <w:r>
        <w:t>juin 2015 consid. 3.1 ; TF 5A_748/2016 du 8 décembre 2016 consid. 3.1 ; Colombini, Code de procédure civile, Condensé de la jurisprudence fédérale et vaudoise, 2018, n. 4.2.2 ad art. 334 CPC).</w:t>
      </w:r>
    </w:p>
    <w:p>
      <w:r>
        <w:t>- 11 - Au stade de l’exécution forcée, si en soi,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 ou des parties –, mais non aux cas où un point n'a pas du tout été tranché ou en tout cas pas avec la précision nécessaire pour l'exécution (ATF 143 III 564 consid. 4.3.2 ; ATF 142 III 420 consid. 2.2 ; Colombini, op. cit., n. 4.3.1 ad art. 334 CPC).</w:t>
      </w:r>
    </w:p>
    <w:p>
      <w:r>
        <w:rPr>
          <w:b/>
        </w:rPr>
        <w:t>E. 5.1</w:t>
      </w:r>
    </w:p>
    <w:p>
      <w:r>
        <w:t>Les parties sont désormais en accord sur le fait que l’interprétation de la convention doit être faite à l’aune de l’art. 482 aCPC- VD, et non selon l’art. 18 CO. Le juge saisi d’une requête d’interprétation d’une convention de divorce doit se contenter de constater la volonté présumée des parties, sur la base de laquelle il a ratifié en son temps la convention. Est ainsi décisive la volonté des parties telle qu’elle a été comprise et ratifiée par le juge (ATF 143 III 520 consid. 6.2 ; Colombini, Code de procédure civile, Condensé de la jurisprudence fédérale et vaudoise, 2018, n. 4.2.2 ad art.</w:t>
      </w:r>
    </w:p>
    <w:p>
      <w:r>
        <w:t>- 10 - 334 CPC ; Müller, L’interprétation d’une convention de divorce homologuée par un juge, Newsletter DroitMatrimonial.ch octobre 2017). Partant, c’est la volonté des parties qui doit servir de base à l’interprétation de la convention, ce que les parties admettent également. Il faut ainsi déterminer la volonté présumée des parties sur la base de laquelle le juge a, en son temps, ratifié la convention.</w:t>
      </w:r>
    </w:p>
    <w:p>
      <w:r>
        <w:rPr>
          <w:b/>
        </w:rPr>
        <w:t>E. 5.2</w:t>
      </w:r>
    </w:p>
    <w:p>
      <w:r>
        <w:t>Le recourant fait valoir que le chiffre III de la convention de divorce serait équivoque, lacunaire et pas clair, de sorte qu’il ne lui permettrait pas d’obtenir le paiement de sa part du revenu locatif de l’immeuble propriété de l’intimée. Il invoque que lorsqu’un jugement de divorce présente une lacune s’agissant des modalités de paiement d’une pension, il doit être interprété. Le recourant soutient encore qu’au vu de l’imprécision du jugement, il ne pourrait encaisser ses créances mensuelles qu’une fois par année. Le jugement du 15 février 2001 ne suffirait pas à lui seul à prononcer la mainlevée définitive, auquel il faudrait ajouter les comptes d’exploitations de l’immeuble.</w:t>
      </w:r>
    </w:p>
    <w:p>
      <w:r>
        <w:rPr>
          <w:b/>
        </w:rPr>
        <w:t>E. 5.3</w:t>
      </w:r>
    </w:p>
    <w:p>
      <w:r>
        <w:t>L’art. 482 aCPC-VD prévoyait qu’il y a lieu à interprétation d’un jugement définitif ou d’un arrêt lorsque le dispositif en est équivoque, incomplet, contradictoire ou encore lorsque, par une inadvertance manifeste, le dispositif est en contradiction flagrante avec les motifs. La jurisprudence relative à l’art. 334 CPC, dont la teneur est semblable à l’art. 482 aCPC-VD, prévoit qu’une interprétation ne peut être requise que si le dispositif est en soi peu clair, contradictoire ou lacunaire ou présente une contradiction avec la motivation. La contradiction ou le manque de clarté doit être imputée à une formulation formellement viciée. La requête d'interprétation ne peut jamais tendre à une modification matérielle de la décision (ATF 143 III 520 consid. 6.1 ; TF 5A_149/2015 du</w:t>
      </w:r>
    </w:p>
    <w:p>
      <w:r>
        <w:rPr>
          <w:b/>
        </w:rPr>
        <w:t>E. 5.4</w:t>
      </w:r>
    </w:p>
    <w:p>
      <w:r>
        <w:t>Le premier juge a considéré que la clause dont le recourant avait demandé l’interprétation était claire et désignait l’objet, le débiteur et le créancier, ainsi que la manière de calculer la prestation due. Il a ajouté que la provenance des fonds et la définition des revenus de l’immeuble étaient précisées dans la clause de la convention de divorce. Par ailleurs, le fait que la formulation du ch. III du dispositif du jugement de divorce soit insuffisante pour obtenir l’exécution forcée de l’obligation n’était pas une indication que la clause serait incomplète ou peu claire.</w:t>
      </w:r>
    </w:p>
    <w:p>
      <w:r>
        <w:rPr>
          <w:b/>
        </w:rPr>
        <w:t>E. 5.5</w:t>
      </w:r>
    </w:p>
    <w:p>
      <w:r>
        <w:t>Dans le cadre de procédures de mainlevées opposant les parties, la Cour des poursuites et faillites (ci-après : la CPF) a précisé qu’au stade de la mainlevée, la convention ratifiée obligeait le débiteur au paiement d’une somme d’argent déterminable, correspondant à un pourcentage du revenu locatif net de l’immeuble dont l’intimée était propriétaire, ce qui était confirmé par la pratique des parties seize ans durant (CPF 9 septembre 2019/157 consid. IId ; CPF 3 juin 2018/64 consid. IIc). La CPF a conclu qu’il reviendrait au juge du fond, saisi d’une demande en modification du jugement de divorce, d’interpréter la convention litigieuse. Comme l’ont relevé les juges de la CPF, il apparaît difficile de considérer qu’un jugement de divorce souffrirait d’une lacune, compte tenu du fait que durant seize ans, les parties ont réussi à mettre en application la clause litigieuse. La clause litigieuse désignait effectivement l’objet, le débiteur et le créancier, ainsi que la manière de calculer la</w:t>
      </w:r>
    </w:p>
    <w:p>
      <w:r>
        <w:t>- 12 - prestation due et était donc claire à ces égards. Contrairement à ce qu’avance le recourant, le jugement de divorce ne présente pas de lacune quant aux modalités de paiement d’une pension, qui sont également claires. En effet, le fait qu’il veuille voire le montant de la pension due en sa faveur, chiffré à 10'000 fr. par mois, ce qui équivaudrait selon lui aux 35,33 % du revenu locatif, ne justifie pas une interprétation de la convention mais bien une modification matérielle de celle-ci. Si les montants avancés dans le cadre de la convention de divorce étaient mentionnés en 2001, ils ne l’étaient qu’à titre d’exemple ; or, en chiffrant la contribution d’entretien due en sa faveur, la demande d’interprétation du recourant ne se limite pas à une simple reformulation. Les conclusions du recourant vont dès lors au-delà de ce qui est admissible dans le cadre d’une telle demande, le juge de l’interprétation ne pouvant être saisi d’une demande en modification du fond du dispositif du jugement. Les considérations du premier juge quant à l’interprétation de la volonté des parties et de la compréhension qu’il en a eue à l’époque de la ratification de la convention de divorce sont donc exactes et doivent être confirmées.</w:t>
      </w:r>
    </w:p>
    <w:p>
      <w:r>
        <w:rPr>
          <w:b/>
        </w:rPr>
        <w:t>E. 6.1</w:t>
      </w:r>
    </w:p>
    <w:p>
      <w:r>
        <w:t>Au vu de ce qui précède, le recours doit être rejeté.</w:t>
      </w:r>
    </w:p>
    <w:p>
      <w:r>
        <w:rPr>
          <w:b/>
        </w:rPr>
        <w:t>E. 6.2</w:t>
      </w:r>
    </w:p>
    <w:p>
      <w:r>
        <w:t>Les frais judiciaires de deuxième instance, arrêtés à 1'200 fr., doivent être mis à la charge du recourant, qui succombe (art. 106 al. 1 CPC).</w:t>
      </w:r>
    </w:p>
    <w:p>
      <w:r>
        <w:rPr>
          <w:b/>
        </w:rPr>
        <w:t>E. 6.3</w:t>
      </w:r>
    </w:p>
    <w:p>
      <w:r>
        <w:t>Le recourant devra en outre verser à l’intimée la somme de 1'500 fr. à titre de dépens de deuxième instance.</w:t>
      </w:r>
    </w:p>
    <w:p>
      <w:r>
        <w:t>- 13 - Par ces motifs, la Chambre des recours civile du Tribunal cantonal, prononce : I. Le recours est rejeté. II. Le jugement est confirmé. III. Les frais judiciaires de deuxième instance, arrêtés à 1'200 fr. (mille deux cents francs), sont mis à la charge du recourant K.________. IV. Le recourant K.________ versera à l’intimée W.________ la somme de 1'500 fr. (mille cinq cents francs), à titre de dépens de deuxième instance. V. L’arrêt est exécutoire. Le président : La greffière : Du L'arrêt qui précède, dont la rédaction a été approuvée à huis clos, est notifié à : - Me Cédric Aguet (pour K.________), - Me François Canonica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