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PD17.042670 vom 8. Juni 2020</w:t>
      </w:r>
    </w:p>
    <w:p>
      <w:r>
        <w:t>VD Tribunal cantonal, 2020-06-08, FR</w:t>
      </w:r>
    </w:p>
    <w:p>
      <w:r>
        <w:rPr>
          <w:b/>
        </w:rPr>
        <w:t xml:space="preserve">Quelle: </w:t>
      </w:r>
      <w:r>
        <w:t>https://mcp.opencaselaw.ch/entscheid/vd_gerichte_PD17.042670</w:t>
      </w:r>
    </w:p>
    <w:p>
      <w:r>
        <w:t>FR: VD_GERICHTE PD17.042670 du 8 juin 2020</w:t>
      </w:r>
    </w:p>
    <w:p>
      <w:r>
        <w:t>IT: VD_GERICHTE PD17.042670 del 8 giugno 2020</w:t>
      </w:r>
    </w:p>
    <w:p>
      <w:pPr>
        <w:pStyle w:val="Heading2"/>
      </w:pPr>
      <w:r>
        <w:t>Erwägungen</w:t>
      </w:r>
    </w:p>
    <w:p>
      <w:r>
        <w:rPr>
          <w:b/>
        </w:rPr>
        <w:t>E. 3.1</w:t>
      </w:r>
    </w:p>
    <w:p>
      <w:r>
        <w:t>En vertu de l’art. 129 al. 1 CC (Code civil suisse du 10 décembre 1907 ; RS 210) relatif à l’entretien après le divorce, si la situation du débiteur ou du créancier change notablement et durablement, la rente peut être diminuée, supprimée ou suspendue pour une durée déterminée ; une amélioration de la situation du créancier n’est prise en compte que si une rente permettant d’assurer son entretien convenable a pu être fixée dans le jugement de divorce. La modification de la pension suppose que des faits nouveaux importants et durables soient survenus dans la situation du débirentier ou du crédirentier,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pension ait été fixée sans tenir compte de ces circonstances futures. On présume néanmoins que la contribution d'entretien a été fixée en tenant compte des modifications prévisibles, soit celles qui, bien que futures, sont déjà certaines ou fort probables (ATF 138 III 289 consid. 11.1.1 ; TF 5A_964/2018 du 26 juin 2019 consid. 3.2.1). Le caractère notable de la modification se détermine in concreto, en fonction de chaque cas particulier, en comparant les situations avant et après le changement de circonstances (sous l'ancien</w:t>
      </w:r>
    </w:p>
    <w:p>
      <w:r>
        <w:t>- 14 - droit : ATF 118 II 229 consid. 3a ; TF 5A_917/2015 du 4 mars 2016 consid. 3). Le changement doit par ailleurs être durable, soit probablement de durée illimitée. S'il est d'une durée limitée ou incertaine, il peut aboutir à une suspension partielle de la rente, voire à une réduction de celle-ci pour un laps de temps déterminé. On peut aussi prévoir une suspension de la rente avec une réserve de réaugmentation (TF 5A_93/2011 du 13 septembre 2011 consid. 6.1). S'agissant du caractère « imprévisible », est déterminant non pas le caractère prévisible ou non des circonstances futures en tant que telles, mais le fait que, au moment de la fixation de la rente, le juge du divorce ou les parties ne pouvaient prendre en considération les conséquences concrètes de la modification des circonstances dans le calcul de la rente (ATF 131 III 189 consid. 2.7.4 ; sur le tout TF 5A_93/2011 du 13 septembre 2011 consid. 6.1). Lorsque les conditions de l’art. 129 CC sont remplies, la contribution d’entretien doit à nouveau être fixée sur la base des critères de l’art. 125 CC, après actualisation de tous les éléments pris en compte pour le calcul dans le jugement précédent (ATF 138 III 289 consid. 11.1.1 ; TF 5A_461/2019 du 6 mars 2020 consid. 5.1). Pour que le juge puisse procéder à cette actualisation, il n’est pas nécessaire que la modification survenue dans ces autres éléments constitue également un fait nouveau, au sens de l’art. 129 al. 1 CC (ATF 137 III 604 consid. 4.1.2 ; TF 5A_230/2019 du 31 janvier 2020 consid. 6.1 ; TF 5A_762/2015 du 8 avril 2016 consid. 4.2) La survenance de faits nouveaux importants et durables n'entraîne toutefois pas automatiquement une modification du montant de la contribution d'entretien ; celle-ci ne se justifie que lorsque la différence entre le montant de la contribution d'entretien nouvellement calculée et celle initialement fixée est d'une ampleur suffisante (TF 5A_515/2015 du 8 mars 2016 consid. 3 et les réf. citées).</w:t>
      </w:r>
    </w:p>
    <w:p>
      <w:r>
        <w:t>- 15 -</w:t>
      </w:r>
    </w:p>
    <w:p>
      <w:r>
        <w:rPr>
          <w:b/>
        </w:rPr>
        <w:t>E. 3.2</w:t>
      </w:r>
    </w:p>
    <w:p>
      <w:r>
        <w:t>L'art. 129 al. 1 CC, qui permet au juge de diminuer, supprimer ou suspendre la rente pendant une durée déterminée peut trouver application lorsque le créancier vit dans un concubinage qualifié (TF 5A_964/2018 du 26 juin 2019 consid. 3.2.2 et les réf. citées). En effet, en s'engageant volontairement dans une nouvelle communauté de destins, le crédirentier renonce ce faisant aux prétentions qu'il a envers son ex-conjoint indépendamment de sa nouvelle situation économique. La renonciation aux prétentions d'entretien peut être plus ou moins définitive, selon que la nouvelle relation du crédirentier entraîne la suppression ou la simple suspension du droit à la rente (TF 5A_964/2018 précité consid. 3.2.2 et la réf. citée).</w:t>
      </w:r>
    </w:p>
    <w:p>
      <w:r>
        <w:rPr>
          <w:b/>
        </w:rPr>
        <w:t>E. 3.3.1</w:t>
      </w:r>
    </w:p>
    <w:p>
      <w:r>
        <w:t>En l’espèce, l'appelante soutient que son concubinage ne constituerait pas un élément de fait nouveau d'une importance notable et que l'on ne pouvait prévoir au moment du divorce, dès lors que l'intimé connaissait parfaitement l'existence de la relation de l'appelante avec O.________ lorsqu'il avait signé la convention sur effet accessoires du divorce. Sur ce point, le premier juge a considéré que les cautèles posées par les parties à la lettre E de leur convention sur les effets du divorce du 18 avril 2012 avaient essentiellement trait à une reprise d'activité professionnelle par l'appelante et des revenus que celle-ci pourrait en tirer, mais que cette convention ne faisait aucune mention d'un éventuel concubinage de la créancière d'aliments comme critère de réduction ou de suppression de la pension alimentaire due et en a conclu que les époux, au moment de divorcer, n'avaient pas envisagé ce cas de figure. Il a ajouté que cela paraissait logique, dans la mesure où, au printemps 2012, l'appelante ne fréquentait O.________ que depuis peu de temps et que nul ne pouvait prévoir avec certitude, à ce moment-là, que ceux-ci emménageraient ensemble et formeraient dans l'avenir une communauté de vie stable à long terme, qui plus est en acquérant</w:t>
      </w:r>
    </w:p>
    <w:p>
      <w:r>
        <w:t>- 16 - ensemble successivement deux biens immobiliers. Cette motivation est convaincante et peut être intégralement confirmée. Il en résulte que la pension a été fixée sans tenir compte d'un concubinage stable de l'appelante, qui ne constituait alors pas une modification prévisible, soit une modification qui, bien que future, était déjà certaine ou fort probable, l'évolution de la relation toute neuve au moment de la signature de la convention, cette relation fût-elle connue de l'intimé, étant alors imprévisible. En tout état de cause, le caractère durable de la relation ne pouvait être tenu pour acquis, ni même pour hautement vraisemblable, l'expérience générale de la vie montrant au contraire qu'une séparation dans les premières années d'une relation est assez fréquente (CACI 8 février 2016/90 consid. 3.1).</w:t>
      </w:r>
    </w:p>
    <w:p>
      <w:r>
        <w:rPr>
          <w:b/>
        </w:rPr>
        <w:t>E. 3.3.2</w:t>
      </w:r>
    </w:p>
    <w:p>
      <w:r>
        <w:t>L'appelante conteste qu'au moment de l'ouverture d'action, elle vivait dans une situation de concubinage qualifié. Elle se prévaut pour l'essentiel du témoignage d’O.________. Le premier juge a cependant écarté de manière pertinente ce témoignage, qui ne paraissait pas crédible ni probant, ce témoin ayant indiqué que sa relation amoureuse se serait achevée à l'été 2014 ou à l'été 2015, alors même que sur ses déclarations fiscales 2014, 2015 et 2016 il avait indiqué vivre en concubinage. L'appelante tente en vain d'affaiblir cette contradiction, en alléguant que cette mention aurait été le fait de la fiduciaire, ce qui ne convainc pas, le mandant étant responsable des données de la déclaration fiscale. On voit par ailleurs mal une fiduciaire faire une telle mention de son propre chef si elle ne correspondait pas à la réalité. Pour le surplus, le premier juge s'est fondé sur d'autres éléments pour en déduire que l'appelante vivait avec O.________ au moment de la litispendance le 28 septembre 2017 : l'appelante avait elle- même admis en procédure une « rupture sentimentale brutale » survenue le 24 octobre 2017. Les intéressés avaient acquis ensemble un chalet dans lequel ils avaient emménagé le 1er juin 2017, le témoin J.________ ayant confirmé que l'appelante et son ami étaient en couple au moment de cette acquisition. O.________ lui-même a « pensé » avoir quitté le chalet en octobre ou novembre 2017 et l'attestation de domicile fait état d'un</w:t>
      </w:r>
    </w:p>
    <w:p>
      <w:r>
        <w:t>- 17 - changement de domicile d'O.________ à cette période. L’appréciation des preuves du premier juge ne prête pas le flanc à la critique. Il n'est pas plus critiquable d'avoir retenu l'existence d'un concubinage qualifié, même si, au moment de l'ouverture d'action, il n'était pas établi que la vie commune remontait à plus de cinq ans, la date du début du concubinage (printemps 2012 ou novembre 2012) étant disputée. Dans tous les cas, le caractère stable de la relation, indépendamment de sa durée, était établi par l'acquisition successive en commun de biens immobiliers. L'appelante et O.________ avaient acquis ensemble un bien immobilier à R.________, dans lequel ils avaient vécu quelques années, avant de le revendre et de réinvestir leurs fonds ensemble dans l'achat du chalet de L.________, dans lequel ils avaient emménagé ensemble en tant que « couple » selon le témoin J.________, ces achats communs successifs de biens immobiliers constituant déjà un indice déterminant de stabilité durable de leur concubinage, d'autant que l'hypothèque grevant le chalet avait été contractée sur dix ans. Dans la mesure où les concubins avaient décidé de mettre en commun leurs ressources financières pour acquérir ensemble un bien immobilier, cela laissait en effet supposer qu'ils envisageaient encore leur avenir ensemble et à long terme au printemps 2017, quand ils avaient fait ensemble cet investissement immobilier. Cette appréciation peut être confirmée et l'on ne voit pas en quoi elle reviendrait à dire que tous les copropriétaires sont des concubins, comme le soutient l'appelante. On doit dès lors confirmer qu'au jour de l'ouverture d'action, parties vivaient en concubinage qualifié, ce qui constitue une circonstance justifiant une suppression de la contribution (consid. 3.3.5 infra).</w:t>
      </w:r>
    </w:p>
    <w:p>
      <w:r>
        <w:rPr>
          <w:b/>
        </w:rPr>
        <w:t>E. 3.3.3</w:t>
      </w:r>
    </w:p>
    <w:p>
      <w:r>
        <w:t>L'appelante soutient qu'il y aurait lieu par économie de procédure de tenir compte de la rupture survenue après l'ouverture d'action, afin d'éviter une nouvelle procédure de modification. Selon un auteur, une situation évolutive, donc des faits survenus en cours d'instance, postérieurement à la demande de</w:t>
      </w:r>
    </w:p>
    <w:p>
      <w:r>
        <w:t>- 18 - modification et qui n'étaient pas prévus ou prévisibles au moment du dépôt, devraient être admis largement, dans les limites de l'art. 229 CPC, pour éviter une nouvelle procédure en modification (Simeoni, CPra- Matrimonial, Bâle 2015, n. 18 ad art. 129 CC). Selon la jurisprudence, ce sont les circonstances actuelles et futures prévisibles examinées au jour de la demande, qui servent de fondement pour décider si l'on est en présence d'une situation qui s'est modifiée de manière durable et importante. Un état de fait futur incertain et hypothétique ne constitue pas une cause de modification. Des éléments concrets relatifs à une modification prochaine des circonstances peuvent par contre être pris en considération, afin d'éviter autant que possible une nouvelle procédure ultérieure en modification (TF 5A_373/2015 du 2 juin 2016 consid. 4.3.1 et les réf. citées). L'appelante ne peut rien déduire en sa faveur de cette jurisprudence et de cette doctrine. En effet, si la suppression de la contribution devait être confirmée, ce qui sera examiné ci-dessous (cf. infra), une action en modification est exclue, la suppression de la rente ayant un effet définitif (Pichonnaz, Commentaire romand, Code civil I, Bâle 2010, n. 53 ad art. 129 CC et les réf. citées). Au demeurant, il faudrait retenir que la preuve d'une circonstance justifiant une (nouvelle) modification incomberait à l'appelante (art. 8 CC). Or, il résulte des faits retenus que l'on ignore si, en réalité, l'appelante et O.________ ont poursuivi leur vie commune, de nombreux indices laissant à penser que tel a été le cas, le juge ayant retenu que des indices convergents laissaient à penser que la séparation était factice et avait été organisée en opportunité par les intéressés, compte tenu de la procédure en modification de jugement de divorce initiée par l'intimé et visant à la suppression d'une rente après divorce, représentant une partie non négligeable de leurs revenus communs, qu'ils auraient ainsi tenté de pouvoir conserver. On se référera à cet égard à l'appréciation des preuves convaincante du premier juge concernant notamment l’acquisition des biens immobiliers et des documents bancaires liés à l’hypothèque portant le nom de l’appelante et d’O.________</w:t>
      </w:r>
    </w:p>
    <w:p>
      <w:r>
        <w:t>- 19 - en 2019 encore. On relève par ailleurs que tant l’appelante qu’O.________ se sont opposés à exécuter les ordonnances de production de pièces qui leur avaient été notifiées en premier lieu le 30 octobre 2017, avant de finalement produire tout ou partie desdites pièces, contraints et forcés. Leur manque de collaboration volontaire à cet égard doit dès lors être apprécié à la lumière des intérêts qu’ils pouvaient tous deux avoir au maintien de la contribution d’entretien de l’appelante.</w:t>
      </w:r>
    </w:p>
    <w:p>
      <w:r>
        <w:rPr>
          <w:b/>
        </w:rPr>
        <w:t>E. 3.3.4</w:t>
      </w:r>
    </w:p>
    <w:p>
      <w:r>
        <w:t>L'appelante soutient que le premier juge aurait violé son droit d'être entendue en prononçant la suppression de la rente sans motiver les raisons pour lesquelles une suspension n'a pas été prononcée. En l'espèce, le premier juge a exposé les principes applicables en matière de suspension ou de suppression de rente après divorce. Passant à la subsomption, il a considéré qu'au vu de la jurisprudence, l'appelante commettait un abus de droit manifeste en concluant au maintien de la pension, alors même qu'elle vivait, au moment de la litispendance, une situation assimilable à un remariage, qui justifiait la suppression de ladite pension par le juge. Il a ainsi motivé de manière suffisante les raisons pour lesquelles il avait choisi la suppression de la contribution plutôt que sa suspension. Le grief tiré de la violation du droit d'être entendu est infondé.</w:t>
      </w:r>
    </w:p>
    <w:p>
      <w:r>
        <w:rPr>
          <w:b/>
        </w:rPr>
        <w:t>E. 3.3.5</w:t>
      </w:r>
    </w:p>
    <w:p>
      <w:r>
        <w:t>Cela étant, l'appelante n'expose nullement les raisons pour lesquelles une suspension de la contribution aurait dû être ordonnée plutôt qu'une suppression et on peut douter de la recevabilité du moyen sur le fond. Quoi qu'il en soit, en prononçant la suppression plutôt que la suspension, le premier juge n'a pas violé le droit fédéral. Le choix entre la suspension ou la suppression de la rente doit procéder d'une pesée des intérêts, entre celui du créancier à pouvoir bénéficier d'une pension en cas de dissolution du concubinage et celui du débiteur à être définitivement libéré de son obligation d'entretien. La contribution d'entretien sera a priori supprimée lorsque le concubinage est qualifié ; la suppression sera par conséquent généralement prononcée</w:t>
      </w:r>
    </w:p>
    <w:p>
      <w:r>
        <w:t>- 20 - lorsque, au moment de l'introduction de la requête, la durée du concubinage est supérieure au délai de cinq ans ou lorsque la communauté de vie n'a pas encore atteint cette durée mais présente, en raison d'autres facteurs, une stabilité suffisante (TF 5A_964/2018 précité consid. 3.2.3 et les réf. citées). En l'espèce, il a été retenu sans que cela ne prête le flanc à la critique (consid. 3.3.2 supra) que, même si la durée du concubinage était peut-être légèrement inférieure à cinq ans, il existait des circonstances permettant de retenir qu'il présentait une stabilité suffisante, en particulier en raison de l'acquisition commune successive de biens immobiliers, l'hypothèque grevant le dernier bien dans lequel les intéressés avaient emménagé à l’été 2017 ayant été souscrite à 10 ans. Dans de telles circonstances, la suppression de la contribution, qui est le principe dans un tel cas, n’est pas critiquable. A supposer que l'on ait dû tenir compte d'une rupture de relation entre les concubins en cours de procédure comme facteur déterminant dans la pesée des intérêts, force est de constater que la preuve de cette rupture n'a pas été apportée à satisfaction, de nombreux indices convergents laissant au contraire à penser que la séparation était factice et avait été organisée en opportunité par les intéressés (consid. 3.3.2 et 3.3.3 supra). La suppression est d'autant moins discutable qu'alors même que la convention indiquait que l'appelante avait « bon espoir d'exercer une activité lucrative » et de ce fait prévoyait l'évolution dégressive de la quotité de la pension en fonction des revenus qu'elle allait réaliser après le divorce, l’appelante n'a nullement cherché à se réinsérer sur le marché du travail depuis 2012, ne justifiant d'aucune recherche d'emploi sérieuse, les premières pièces produites datant opportunément du 14 novembre 2017, soit peu après l'ouverture d'action en modification. L’appelante a produit seulement deux postulations antérieures, soit de septembre 2014, ce qui ne permet pas de retenir une réelle volonté de réinsertion sur le marché du travail. C'est par conséquent à juste titre que le premier juge a retenu que l'appelante n'entendait pas retrouver un travail, mais bien plutôt vivre aux côtés de son nouveau compagnon, en bénéficiant d'une pleine rente</w:t>
      </w:r>
    </w:p>
    <w:p>
      <w:r>
        <w:t>- 21 - post divorce. Enfin, les certificats médicaux produits, qui sont tous postérieurs à l'ouverture d'action, dont la portée a été dûment appréciée par le premier juge, sans que l'appelante ne critique cette appréciation de manière circonstanciée en appel, ne permettent pas de retenir que l'appelante serait incapable à long terme de travailler pour des raisons de santé, le dernier certificat produit (certificat de la Dre F.________ du 17 octobre 2019), se bornant à faire état de « troubles actuels de la santé sur le plan psychologique, nécessitant un soutien et une aide professionnelle à ce sujet », l'intéressée étant « actuellement très vulnérable et déstabilisée par les problèmes de santé qu'elle rencontre ». Ce certificat, qui émane d'un spécialiste en médecine interne et non d'un psychiatre, n'a qu'une force probante très limitée et ne mentionne d'ailleurs aucun taux d'incapacité de travail. Le dépôt de n'importe quel certificat médical ne suffit pas à rendre vraisemblable l'incapacité alléguée dans le cadre d'une procédure de droit de la famille. A cet égard, la jurisprudence retient qu'il n'est pas arbitraire de ne pas attribuer de valeur probante rendant suffisamment vraisemblable une incapacité, s'agissant d'un certificat médical émanant d'un médecin traitant généraliste et non d'un psychiatre, qui se contente d'évoquer les plaintes du patient, notamment de manière toute générale une « dépression », sans mentionner sur quels examens se fonde ce diagnostic et comment il est parvenu à cette conclusion (TF 5A_239/2017 du 14 septembre 2017 consid. 2.4, FamPra.ch 2018 p. 212). Au demeurant, l'appelante n'a pas déposé de demande de prestations auprès de l'assurance-invalidité. L'état de santé de l'appelante ne constitue dès lors pas un motif justifiant de suspendre la rente plutôt que de la supprimer. Il est relevé à toutes fins utiles que les griefs de l’appelante mentionnés dans son mémoire d’appel concernant un revenu hypothétique sont sans pertinence dans la mesure où la décision litigieuse ne traite pas, à juste titre, de cette question.</w:t>
      </w:r>
    </w:p>
    <w:p>
      <w:r>
        <w:rPr>
          <w:b/>
        </w:rPr>
        <w:t>E. 4</w:t>
      </w:r>
    </w:p>
    <w:p>
      <w:r>
        <w:t>En définitive, l'appel, manifestement mal fondé, doit être rejeté selon l'art. 312 al. 1 in fine CPC et le jugement attaqué confirmé.</w:t>
      </w:r>
    </w:p>
    <w:p>
      <w:r>
        <w:t>- 22 - Les frais judiciaires de deuxième instance, arrêtés à 1'500 fr. (art. 63 al. 3 TFJC [tarif des frais judiciaires civils du 28 septembre 2010 ; BLV 270.11.5]), seront mis à la charge de l'appelante, qui succombe (art. 106 al. 1 CPC). L'intimé n'ayant pas été invitée à se déterminer sur l'appel, il n'y a pas matière à l'allocation de dépens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