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PD17.034880 vom 21. September 2023</w:t>
      </w:r>
    </w:p>
    <w:p>
      <w:r>
        <w:t>VD Tribunal cantonal, 2023-09-21, FR</w:t>
      </w:r>
    </w:p>
    <w:p>
      <w:r>
        <w:rPr>
          <w:b/>
        </w:rPr>
        <w:t xml:space="preserve">Quelle: </w:t>
      </w:r>
      <w:r>
        <w:t>https://mcp.opencaselaw.ch/entscheid/vd_gerichte_PD17.034880</w:t>
      </w:r>
    </w:p>
    <w:p>
      <w:r>
        <w:t>FR: VD_GERICHTE PD17.034880 du 21 septembre 2023</w:t>
      </w:r>
    </w:p>
    <w:p>
      <w:r>
        <w:t>IT: VD_GERICHTE PD17.034880 del 21 settembre 2023</w:t>
      </w:r>
    </w:p>
    <w:p>
      <w:pPr>
        <w:pStyle w:val="Heading2"/>
      </w:pPr>
      <w:r>
        <w:t>Erwägungen</w:t>
      </w:r>
    </w:p>
    <w:p>
      <w:r>
        <w:rPr>
          <w:b/>
        </w:rPr>
        <w:t>E. 1.1</w:t>
      </w:r>
    </w:p>
    <w:p>
      <w:r>
        <w:t>L'art. 110 CPC ouvre la voie du recours séparé de l'art. 319 let. b ch. 1 CPC contre les décisions sur les frais, lesquels comprennent les frais judiciaires et les dépens (art. 95 al. 1 let. a et b CPC). Le recours, écrit et motivé (art. 321 al. 1 CPC [Code de procédure civile du 19 décembre 2008 ; RS 272), doit s'exercer auprès de la Chambre des recours civile (art. 73 al. 1 LOJV [Loi vaudoise d'organisation judiciaire du 12 septembre 1979 ; BLV 173.01]), dans les trente jours à compter de la notification de la décision motivée, s'agissant d'un recours dirigé contre une décision sur les frais prise dans une procédure de divorce (art. 321 al. 1 CPC ; CREC 21 juillet 2016/211 ; CREC 17 octobre 2011/191). Pour être recevable, le recours doit être motivé (art. 321 al. 1 in initio CPC). Il incombe au recourant de s’en prendre à la motivation de la décision attaquée pour tendre à en démontrer le caractère erroné. Il ne lui suffit pas de renvoyer aux moyens soulevés en première instance, ni de se livrer à des critiques toutes générales de la décision attaquée, sa</w:t>
      </w:r>
    </w:p>
    <w:p>
      <w:r>
        <w:t>- 4 - motivation devant être suffisamment explicite pour que l'instance de recours puisse la comprendre aisément, ce qui suppose une désignation précise des passages de la décision que le recourant attaque et des pièces du dossier sur lesquelles repose sa critique (ATF 147 III 176 consid. 4.2.1 et les références citées ; ATF 141 III 569 consid. 2.3.3 et 4.3.1 ; TF 4A_555/2022 du 11 avril 2023 consid. 3.1 ; TF 5D_43/2019 du 24 mai 2019 consid. 3.2.2 et les références citées).</w:t>
      </w:r>
    </w:p>
    <w:p>
      <w:r>
        <w:rPr>
          <w:b/>
        </w:rPr>
        <w:t>E. 1.2</w:t>
      </w:r>
    </w:p>
    <w:p>
      <w:r>
        <w:t>En l'espèce, le recours, écrit, a été déposé dans le délai de recours de trente jours, soit en temps utile, et par une partie qui dispose d’un intérêt digne de protection (art. 59 al. 2 let. a CPC). S’agissant de la motivation, le recours est à la limite de la recevabilité, car le recourant, dans de longs développements qui ne se rapportent pas directement à la motivation du prononcé attaqué, revient sur l’ensemble de la procédure de divorce pour faire valoir, en substance, qu’il est inéquitable de lui faire supporter les frais judiciaires de première instance. Interprété de bonne foi (cf. TF 5A_779/2021 du 16 décembre 2022 consid. 3.1), ce moyen s’apparente à un grief fondé sur une violation de l’art. 107 al. 1 (let. e ou f) CPC, s’agissant d’une procédure du droit de la famille. En définitive, la motivation et les conclusions sont suffisantes pour la recevabilité. Il peut dès lors être entré en matière sur le recours.</w:t>
      </w:r>
    </w:p>
    <w:p>
      <w:r>
        <w:rPr>
          <w:b/>
        </w:rPr>
        <w:t>E. 1.3</w:t>
      </w:r>
    </w:p>
    <w:p>
      <w:r>
        <w:t>La clé mémoire USB produite à l’appui du recours ne figure pas au dossier de première instance. Etant nouvelle, elle est irrecevable au vu de l’art. 326 al. 1 CPC qui prescrit l’irrecevabilité des allégations de faits et des preuves nouvelles dans la procédure de recours.</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w:t>
      </w:r>
    </w:p>
    <w:p>
      <w:r>
        <w:t>- 5 - pouvoir d’examen de la Chambre des recours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3</w:t>
      </w:r>
    </w:p>
    <w:p>
      <w:r>
        <w:t>Autant que les griefs du recourant sont compréhensibles, il demande la réduction des frais judiciaires à hauteur de 3'900 fr. à un franc symbolique (modification du chiffre I) car la procédure judiciaire ne lui aurait pas permis de vivre en garde partagée avec sa fille mineure et que «devant l’Etat [se serait] cristallisé[e] la rupture de la relation père-fille, sans que l’Etat ait fait ce qui [était] de son possible pour la contrer ou la rétablir».</w:t>
      </w:r>
    </w:p>
    <w:p>
      <w:r>
        <w:rPr>
          <w:b/>
        </w:rPr>
        <w:t>E. 3.1</w:t>
      </w:r>
    </w:p>
    <w:p>
      <w:r>
        <w:t>Selon l’art. 107 al. 1 CPC, le tribunal peut s’écarter des règles générales de répartition de l’art. 106 CPC – qui fait dépendre la répartition du sort de la cause – et répartir les frais selon sa libre appréciation. La loi prévoit une dérogation à l’art. 106 CPC pour les litiges relevant du droit de la famille (art. 107 al. 1 let. c CPC) et, d’une manière générale, dans les cas où des circonstances particulières rendent la répartition des frais selon le sort de la cause inéquitable (let. f). L’art. 107 al. 2 CPC prévoit que les frais judiciaires qui ne sont pas imputables aux parties ni aux tiers peuvent être mis à la charge du canton si l’équité l’exige. L’art. 107 CPC, en tant qu’exception, doit cependant être appliqué restrictivement et seulement en cas de circonstances particulières et ne doit pas avoir pour conséquence de vider le principe de l’art. 106 CPC de son contenu (ATF 143 III 106 c. 4.2.5 ; TF 1C_350/2016 du 2 février 2017 c. 2.3.2 ; TF 5D_69/2017 du 14 juillet 2017 c. 3.3.1)</w:t>
      </w:r>
    </w:p>
    <w:p>
      <w:r>
        <w:t>- 6 - Les articles 106 à 108 CPC ne sont applicables que lorsqu’une transaction judiciaire ne règle pas la répartition des frais (art. 109 al. 2 let. a CPC) ou lorsqu’une transaction défavorise de manière unilatérale la partie au bénéfice de l’assistance judiciaire (art. 109 al. 2 let. b CPC). Aux termes de l’art. 109 al. 1 CPC, les parties qui transigent en justice supportent les frais conformément à la transaction. Sous réserve des conventions soumises à ratification, notamment dans le cadre d’un divorce, de l’exception prévue par l’art. 109 al. 2 let. b CPC ou d’un éventuel abus de droit, l’accord des parties sur la répartition des frais lie le tribunal et n’est pas soumis à un quelconque contrôle (CREC 25 avril 2023/75 ; CREC 11 juillet 2016/269).</w:t>
      </w:r>
    </w:p>
    <w:p>
      <w:r>
        <w:rPr>
          <w:b/>
        </w:rPr>
        <w:t>E. 3.2</w:t>
      </w:r>
    </w:p>
    <w:p>
      <w:r>
        <w:t>En l’espèce, c’est en vain que le recourant, se fondant sur des faits irrecevables car ne résultant pas de la décision attaquée, fait valoir qu’il serait inéquitable de lui faire supporter les frais judiciaires de première instance, car la convention signée avec son ex-épouse prévoit qu’il prendra en charge l’intégralité des frais de justice. La présidente a donc fait une application correcte de l’art. 109 al. 1 CPC. En outre, le recourant précise en page 36 de son recours qu’il ne demande aucune modification de cette convention, qu’il accepte. Le grief est dès lors infondé.</w:t>
      </w:r>
    </w:p>
    <w:p>
      <w:r>
        <w:rPr>
          <w:b/>
        </w:rPr>
        <w:t>E. 4</w:t>
      </w:r>
    </w:p>
    <w:p>
      <w:r>
        <w:t>Il s'ensuit que le recours, manifestement mal fondé, doit être rejeté dans la mesure où il est recevable et le prononcé attaqué confirmé. Les frais judiciaires de deuxième instance, arrêtés à 200 fr. (art. 69 al. 1 et 70 al. 3 TFJC), sont mis à la charge du recourant, qui succombe (art. 106 al. 1 CPC). Par ces motifs, la Chambre des recours civile du Tribunal cantonal, en application de l'art. 322 al. 1 CPC, prononce : I. Le recours est rejeté dans la mesure où il est recevable. II. Le prononcé est confirmé. III. Les frais judiciaires de deuxième instance, arrêtés à 200 fr. (deux cents francs), sont mis à la charge du recourant Q.________. IV. L’arrêt est exécutoire. La présidente : La greffière:</w:t>
      </w:r>
    </w:p>
    <w:p>
      <w:r>
        <w:t>- 8 - Du L'arrêt qui précède, dont la rédaction a été approuvée à huis clos, est notifié à : - M. Q.________ - Me Samuel Pahud, avocat à Lausanne (pour S.________) La Chambre des recours civile considère que la valeur litigieuse est de 3’900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