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PD15.028959 vom 13. September 2019</w:t>
      </w:r>
    </w:p>
    <w:p>
      <w:r>
        <w:t>VD Tribunal cantonal, 2019-09-13, FR</w:t>
      </w:r>
    </w:p>
    <w:p>
      <w:r>
        <w:rPr>
          <w:b/>
        </w:rPr>
        <w:t xml:space="preserve">Quelle: </w:t>
      </w:r>
      <w:r>
        <w:t>https://mcp.opencaselaw.ch/entscheid/vd_gerichte_PD15.028959</w:t>
      </w:r>
    </w:p>
    <w:p>
      <w:r>
        <w:t>FR: VD_GERICHTE PD15.028959 du 13 septembre 2019</w:t>
      </w:r>
    </w:p>
    <w:p>
      <w:r>
        <w:t>IT: VD_GERICHTE PD15.028959 del 13 settembre 2019</w:t>
      </w:r>
    </w:p>
    <w:p>
      <w:pPr>
        <w:pStyle w:val="Heading2"/>
      </w:pPr>
      <w:r>
        <w:t>Erwägungen</w:t>
      </w:r>
    </w:p>
    <w:p>
      <w:r>
        <w:rPr>
          <w:b/>
        </w:rPr>
        <w:t>E. 1</w:t>
      </w:r>
    </w:p>
    <w:p>
      <w:r>
        <w:t>Le divorce de A.J.________ et de B.J.________ a été prononcé le 12 janvier 2006 par le Tribunal de première instance de la République et Canton de Genève. Dans le cadre de ce jugement, B.J.________ a notamment été astreint à verser à A.J.________, à titre de contribution d’entretien de leurs deux enfants [...], née le [...] 1998, et [...], né le [...] 2000, une pension mensuelle de 5'000 fr. par enfant jusqu’à l’âge de 12 ans, puis de 6'000 fr. dès lors et jusqu’à la majorité, voire jusqu’à leurs 25 ans pour autant qu’ils poursuivent une formation sérieuse et régulière.</w:t>
      </w:r>
    </w:p>
    <w:p>
      <w:r>
        <w:rPr>
          <w:b/>
        </w:rPr>
        <w:t>E. 1.2</w:t>
      </w:r>
    </w:p>
    <w:p>
      <w:r>
        <w:t>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(Jeandin, Commentaire romand, Code de procédure civile, 2e éd., Bâle 019, nn. 5-6 ad art. 320 CPC ; Corboz et al., Commentaire de la LTF, 2e éd., Berne 2014, n. 27 ad art. 97 LTF).</w:t>
      </w:r>
    </w:p>
    <w:p>
      <w:r>
        <w:rPr>
          <w:b/>
        </w:rPr>
        <w:t>E. 2</w:t>
      </w:r>
    </w:p>
    <w:p>
      <w:r>
        <w:t>a) A.J.________ a ouvert action en modification de jugement de divorce le 16 décembre 2015 pour faire supprimer, dès cette date, lesdites contributions à l'entretien de ses deux enfants. A.J.________ a conclu au rejet de ces conclusions. b) Le 13 mars 2016, Q.________ a déposé une requête en intervention accessoire.</w:t>
      </w:r>
    </w:p>
    <w:p>
      <w:r>
        <w:t>- 4 - Dans ses déterminations du 29 avril 2019, B.J.________ a conclu à l’admission de la requête de Q.________. Dans ses déterminations du même jour, A.J.________ a conclu à l’irrecevabilité, subsidiairement au rejet de la requête en question. Q.________ a déposé une réplique le 13 mai 2019.</w:t>
      </w:r>
    </w:p>
    <w:p>
      <w:r>
        <w:rPr>
          <w:b/>
        </w:rPr>
        <w:t>E. 3</w:t>
      </w:r>
    </w:p>
    <w:p>
      <w:r>
        <w:t>a) B.J.________ ayant cessé de verser les pensions en question au cours de l’année 2014, A.J.________ a notamment obtenu le séquestre d’un chalet à [...] (VS). Dans son arrêt 5A_205/2016 du 7 juin 2016, le Tribunal fédéral a considéré que les différents éléments pris en compte par les juges cantonaux apparaissaient suffisants pour retenir, sous l'angle de la vraisemblance, à la fois l'existence d'une identité économique entre Q.________ et B.J.________ et pour admettre que la dualité fictive entre ces deux entités avait été utilisée de manière abusive dans le but de permettre à ce dernier d'échapper à l'exécution forcée. b) A la suite de cette décision, Q.________ a toutefois revendiqué la propriété de ce chalet par l’ouverture d’une action devant les autorités valaisannes compétentes. De son côté, A.J.________ a agi en contestation de cette revendication. A ce jour, cette procédure est toujours pendante. En d roit : 1. L'art. 319 let. b ch. 1 CPC ouvre la voie du recours contre les décisions de première instance dans les cas prévus par la loi. L'art. 75 al. 2 CPC prévoit que la décision statuant sur une requête en intervention accessoire peut faire l'objet d'un recours. La décision statuant sur une requête d'intervention étant une ordonnance d'instruction (CREC 4 décembre 2015/418 consid. 4a et les références citées ; Colombini, Condensé de la jurisprudence fédérale et</w:t>
      </w:r>
    </w:p>
    <w:p>
      <w:r>
        <w:t>- 5 - vaudoise relative à l'appel et au recours en matière civile, in JdT 2013 III 131, spéc. p. 161, n. 61), le délai de recours est de dix jours (art. 321 al. 2 CPC).</w:t>
      </w:r>
    </w:p>
    <w:p>
      <w:r>
        <w:rPr>
          <w:b/>
        </w:rPr>
        <w:t>E. 3.1</w:t>
      </w:r>
    </w:p>
    <w:p>
      <w:r>
        <w:t>La recourante invoque une violation de l'art. 74 CPC en prétendant disposer d'un intérêt juridique à intervenir dans le procès portant sur la créance. Plus particulièrement, elle soutient que si l'action de B.J.________ aboutissait, il devrait à la créancière A.J.________ 168'000 fr. de contributions pour la période antérieure à l'ouverture d'action et qu'elle-même pourrait alors réunir ce montant et éviter la réalisation forcée du chalet qui lui appartient. En revanche, si les conclusions de B.J.________ étaient rejetées, la créance serait de 744'000 fr., la vente forcée du chalet serait alors inéluctable et elle en perdrait la propriété. Son intérêt juridique consisterait dès lors dans la conservation de la propriété immobilière constituant son unique actif.</w:t>
      </w:r>
    </w:p>
    <w:p>
      <w:r>
        <w:t>- 6 -</w:t>
      </w:r>
    </w:p>
    <w:p>
      <w:r>
        <w:rPr>
          <w:b/>
        </w:rPr>
        <w:t>E. 3.2.1</w:t>
      </w:r>
    </w:p>
    <w:p>
      <w:r>
        <w:t>; Hohl, Procédure civile, Tome I, 2e éd. 2016, pp. 166-167, nn. 986 et 990). Dans l'un et l'autre cas, il faut une requête (art. 75 al. 1 CPC), sur laquelle le tribunal statue après avoir entendu les parties, c'est-à-dire après leur avoir donné la possibilité de se prononcer sur le bien-fondé de la requête d'intervention (art. 75 al. 2 CPC). La requête d'intervention accessoire doit comprendre un exposé du motif de l'intervention (« lnterventionsgrund » ; art. 75 al. 1 CPC ; ATF 143 III 140 consid. 4.1.2 ; Haldy, Procédure civile suisse, Bâle 2014, p. 104, n. 342). Singulièrement, les faits fondant l'intérêt juridique à intervenir doivent être allégués, le cas échéant preuves à l'appui (Göksu, Schweizerische Zivilprozessordnung [ZPO], 2e éd., Zurich/St-Gall 2016, n.</w:t>
      </w:r>
    </w:p>
    <w:p>
      <w:r>
        <w:rPr>
          <w:b/>
        </w:rPr>
        <w:t>E. 3.2.2</w:t>
      </w:r>
    </w:p>
    <w:p>
      <w:r>
        <w:t>En ce qui concerne l'application du principe de transparence dans la procédure de revendication, I'ATF 144 III 541 (consid. 8.3.3) rappelle qu'un tiers peut être tenu pour responsable des engagements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Ni le sociétaire ni la personne morale ne peuvent se prévaloir de la dualité juridique aux dépens de l'identité économique et, en conséquence, les rapports de droit liant l'une lient également l'autre ; en ce qui les concerne, ils doivent s'en tenir à la forme d'organisation qu'ils ont choisie et ne peuvent se prévaloir avec succès de l'absence de dualité juridique aux dépens de leurs créanciers.</w:t>
      </w:r>
    </w:p>
    <w:p>
      <w:r>
        <w:rPr>
          <w:b/>
        </w:rPr>
        <w:t>E. 3.3.1</w:t>
      </w:r>
    </w:p>
    <w:p>
      <w:r>
        <w:t>En l’espèce, il convient d'abord d’exposer les effets du procès en revendication pendant devant le juge valaisan. Lorsque, comme ici (cf. art. 108 al. 1 ch. 3 LP), le jugement sera rendu dans un procès en revendication opposant le tiers revendiquant à un participant à la saisie, il n'a d'effets que pour la poursuite en cours. Le juge décidera si le droit</w:t>
      </w:r>
    </w:p>
    <w:p>
      <w:r>
        <w:t>- 9 - revendiqué par le tiers doit ou non être respecté dans la saisie en cours et la distribution des deniers ; le jugement n'aura aucun effet à l'égard du poursuivi qui n'est pas partie au procès ; si la revendication est écartée, le bien litigieux sera réalisé, mais le gain du procès ne profitera qu'au poursuivant partie au procès (Pierre-Robert Gilliéron, Poursuite pour dettes, faillites et concordat, 5e éd. Lausanne 2012, n° 1177).</w:t>
      </w:r>
    </w:p>
    <w:p>
      <w:r>
        <w:rPr>
          <w:b/>
        </w:rPr>
        <w:t>E. 3.3.2</w:t>
      </w:r>
    </w:p>
    <w:p>
      <w:r>
        <w:t>Si la recourante obtient gain de cause dans le procès en revendication, il va de soi que le procès en modification de jugement de divorce ne présentera plus aucun intérêt ni économique ni juridique pour elle, si bien que dans cette hypothèse son intervention ne peut qu'être refusée. Dans l'hypothèse inverse, si la recourante perd le procès en revendication, elle ne pourra pas opposer son droit de propriété à l'exécution forcée portant sur l'immeuble. En revanche, le gain ou la perte par le débiteur du procès en modification du jugement de divorce, litige dont la recourante admet qu'il ne pourra de toute manière pas aboutir à la mise à néant de la créance en contributions d'entretien antérieures à son introduction, n'aura aucun effet juridique pour elle, puisque ses droits n'en seront pas altérés. Certes, le procès portant sur le montant de la créance en poursuite a une importance économique pour la recourante, puisque l'ampleur de la diminution de son patrimoine en dépend. La démonstration économique mais non juridique entreprise par elle, qui indique dans son recours le montant de la créance qu’elle pourrait supporter pour éviter la réalisation de son immeuble, confirme la nature exclusivement économique de son intérêt. 4. 4.1 En conséquence, le recours doit être rejeté et l'ordonnance confirmée.</w:t>
      </w:r>
    </w:p>
    <w:p>
      <w:r>
        <w:t>- 10 - 4.2 Les frais judiciaires, fixés à 5'000 fr. (art. 71 al. 3 TFJC [tarif du 28 septembre 2010 des frais judiciaires civils ; BLV 270.11.5]), seront mis à la charge de la recourante qui succombe (art. 106 al. 1 CPC). Il ne sera pas alloué de dépens, les intimés n’ayant pas été invités à se déterminer sur le recours. Par ces motifs, la Chambre des recours civile du Tribunal cantonal, en application de l'art. 322 al. 1 CPC, prononce : I. Le recours est rejeté. II. L’ordonnance est confirmée. III. Les frais judiciaires de deuxième instance, arrêtés à 5'000 fr. (cinq mille francs), sont mis à la charge de la recourante Q.________. IV. L’arrêt est exécutoire. Le vice-président : La greffière : Du L'arrêt qui précède est notifié en expédition complète, par l'envoi de photocopies, à : - Me Vincent Tattini (pour Q.________), - Me Albert Righini (pour A.J.________), - Me Alexis Lafranchi (pour B.J.________),</w:t>
      </w:r>
    </w:p>
    <w:p>
      <w:r>
        <w:t>- 11 -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5</w:t>
      </w:r>
    </w:p>
    <w:p>
      <w:r>
        <w:t>ad art. 75 CPC ; Domej, Kurzkommentar ZPO, 2e éd., Bâle 2013, n. 12 ad art. 74 CPC et n. 2 ad art. 75 CPC). Une preuve stricte n'est pas exigée (Göksu, op. cit., n. 16 ad art. 74 CPC et n. 5 ad art. 75 CPC ; Staehelin/Schweizer, Kommentar zur Schweizerischen Zivilprozessordnung [ZPO], 3e éd., Zurich 2016, n. 13 ad art. 75 CPC ; Graber/Frei, Basler Kommentar, Schweizerische Zivilprozessordnung, 2e éd., Bâle 2013, n. 7 ad art. 74 CPC ; Zuber/Gross, Berner Kommentar, Schweizerische Zivilprozessordnung, Band I, Berne 2012, n. 3 ad art. 75 CPC). Par définition, l'intervenant accessoire ne fait donc pas valoir des prétentions propres, mais soutient les conclusions d'une des parties</w:t>
      </w:r>
    </w:p>
    <w:p>
      <w:r>
        <w:t>- 7 - principales, qu'il a intérêt à voir triompher (TF 5A_603/2013 du 25 octobre 2013 consid. 4.2 ; CREC 24 janvier 2019/33 consid. 3). Il doit rendre vraisemblable un intérêt juridique à ce que la partie aux côtés de laquelle il veut intervenir ait gain de cause. L'intervention accessoire est en outre possible en procédure sommaire (art. 248 ss CPC), singulièrement pendant une procédure de mesures provisionnelles (art. 261 ss cum art. 248 let. d CPC ; cf. ATF 142 III 40 consid. 3.1.2 [procédure de preuve à futur « hors procès » selon l'art. 158 CPC] ; Staehelin/Schweizer, op. cit., n. 14 ad art. 74 CPC ; Staehelin/Grolimund, Zivilprozessrecht, 2e éd., Zurich 2013, p. 198, n. 56 ; cf. également Zuber/Gross, op. cit., nn. 15-16 ad art. 74 CPC et les références citées).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(Haldy, op. cit., n° 337 p. 103; Hohl, op. cit., n° 989 s. p. 166 s.). Un intérêt purement factuel ou économique ne suffit pas. L'intervenant a un intérêt juridique lorsqu'en cas de perte du procès, ses propres droits peuvent être lésés ou compromis; le jugement à intervenir doit donc influer sur les droits et obligations de l'intervenant (Hohl, op. cit., n° 991 p. 167; Staehelin/Staehelin/Grolimund, op. cit., § 13 n° 55 p. 197; Zuber/Gross, op. cit., n° 21 ss ad art. 74 CPC et n° 2 ad art. 75 CPC; Graber/Frei, op. cit., n° 2 ad art. 74 CPC; Leuenberger/Uffer-Tobler, Schweizerisches Zivilprozessrecht, 2e éd. 2016, n° 3.54 p. 104; Nina J. Frei, Die Interventions- und Gewährleistungsklagen im Schweizer Zivilprozess, 2004, p. 11; Nicolas Jeandin, Parties au procès: Mouvement et (r) évolution, 2003, p. 57; voir aussi ATF 65 II 242 [art. 16 aPCF, actuellement art. 15 PCF]).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L'intérêt consiste en général à éviter les risques d'une action</w:t>
      </w:r>
    </w:p>
    <w:p>
      <w:r>
        <w:t>- 8 - récursoire postérieure contre l'intervenant (Pittet-Middelmann, op. cit., p. 3; Graber/Frei, op. cit., n° 4 ad art. 74 CPC). La notion d'intérêt juridique dépend donc exclusivement de la question de savoir si les droits de l'intervenant sont touchés ou non par la solution du litige pendant entre les parties en cause. Le juge doit donc se demander si les droits du requérant à l'intervention demeureront ou non intacts avant comme après le procès, respectivement si la possibilité de les exercer sera ou non modifiée par la décision à intervenir (ATF 143 III 140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