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PD14.006549 vom 12. August 2015</w:t>
      </w:r>
    </w:p>
    <w:p>
      <w:r>
        <w:t>VD Tribunal cantonal, 2015-08-12, FR</w:t>
      </w:r>
    </w:p>
    <w:p>
      <w:r>
        <w:rPr>
          <w:b/>
        </w:rPr>
        <w:t xml:space="preserve">Quelle: </w:t>
      </w:r>
      <w:r>
        <w:t>https://mcp.opencaselaw.ch/entscheid/vd_gerichte_PD14.006549</w:t>
      </w:r>
    </w:p>
    <w:p>
      <w:r>
        <w:t>FR: VD_GERICHTE PD14.006549 du 12 août 2015</w:t>
      </w:r>
    </w:p>
    <w:p>
      <w:r>
        <w:t>IT: VD_GERICHTE PD14.006549 del 12 agosto 2015</w:t>
      </w:r>
    </w:p>
    <w:p>
      <w:pPr>
        <w:pStyle w:val="Heading2"/>
      </w:pPr>
      <w:r>
        <w:t>Erwägungen</w:t>
      </w:r>
    </w:p>
    <w:p>
      <w:r>
        <w:rPr>
          <w:b/>
        </w:rPr>
        <w:t>E. 16</w:t>
      </w:r>
    </w:p>
    <w:p>
      <w:r>
        <w:t>octobre 2012 c. 3.1 et les réf. cit., SJ 2013 I 311). Ces exigences s’appliquent également aux litiges soumis à la maxime inquisitoire (ATF 138 III 625 c. 2.2). 3. a) Lorsque, en application de l'art. 134 CC, le juge modifie la garde de l'enfant, il incombe de fixer, selon le droit de la filiation, la contribution d'entretien pouvant être due, désormais, par le parent qui n'a plus la garde de l'enfant.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En outre, selon l'art. 278 al. 2 CC, chaque époux est tenu d'assister son conjoint de façon appropriée dans l'accomplissement de son obligation d'entretien envers les enfants nés avant le mariage. Pour fixer la contribution d’entretien, le juge doit en principe tenir compte du revenu effectif des parties. Cependant, tant le débiteur d’entretien que le créancier peuvent se voir imputer un revenu</w:t>
      </w:r>
    </w:p>
    <w:p>
      <w:r>
        <w:t>- 10 - hypothétique. Il s’agit ainsi d’inciter la personne à réaliser le revenu qu’elle est en mesure de se procurer et dont on peut raisonnablement exiger d’elle qu’elle l’obtienne afin de remplir ses obligations (ATF 128 III 4 c. 4a; TF 5A_99/2011 du 26 septembre 2011 c. 7.4.1, publié in FamPra.ch 2012 228; TF 5A_290/2010 du 28 octobre 2010 c.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ATF 126 III 10 c. 2b). b) Le premier juge a retenu que, si A.B.________ était actuellement sans activité lucrative et ne disposait pas de revenu propre, elle était néanmoins en mesure de réaliser un revenu hypothétique d'un montant de 5'000 fr. par mois à 100 %. Il a ajouté que ses difficultés linguistiques ne constituaient pas un obstacle à ce qu’elle trouve, dans la région zurichoise, un emploi qui corresponde à ses compétences. Un bref examen de la rubrique emploi dans la presse zurichoise laissait apparaître un certain nombre d’offres d’emploi d’assistante de direction en anglais et/ou français, pour lesquelles seules des connaissances orales d’allemand étaient requises. Il a retenu, conformément à la jurisprudence précitée, qu'il n'était au demeurant pas déraisonnable d’exiger d’une personne qui vivait depuis plusieurs années dans une région, et qui entendait apparemment y demeurer, qu’elle perfectionne ses connaissances linguistiques (TF 5C_222/2000 du 25 janvier 2001 précité c. 2c).</w:t>
      </w:r>
    </w:p>
    <w:p>
      <w:r>
        <w:t>- 11 - Il a en outre considéré que, même si l’on ne saurait en principe exiger d’une femme élevant un enfant en bas âge qu’elle reprenne une activité à 100 % (ATF 115 lI 6 c. 3c et les réf. cit.), les enfants issus du précédent mariage de l’intimée n’avaient en l’occurrence pas à supporter le choix qu’elle avait fait de suivre son nouveau mari en Suisse alémanique et de rester au foyer pour s’occuper de l’enfant issu de cette seconde union (dans ce sens, voir arrêt du TF 5A_736/2008 du 30 mars 2009 c. 4.1 in fine). Enfin, il découlait du devoir général d’assistance, consacré à l’art. 159 al. 3 CC et concrétisé à l’art. 278 al. 2 CC, que le nouvel époux de A.B.________ avait le devoir de soutenir sa femme dans l’exécution de son obligation d’entretien envers ses enfants nés avant le mariage et qu'avec un revenu annuel de l’ordre de 272'062 fr., selon déclaration fiscale 2013, il en avait largement les moyens. 4. a) L’appelante ne conteste plus qu’elle pourrait trouver un travail, mais soutient qu’elle ne pourrait pas être obligée de travailler à un taux d’activité supérieur à 50%, dès lors qu’elle doit s’occuper de son fils [...], âgé de 4 ans; selon elle, elle ne pourrait ainsi pas réaliser un revenu supérieur à 2'500 fr. — lequel correspond au revenu de 5'000 fr. retenu par le premier juge pour une activité à plein temps — ni donc être tenue de verser des contributions d’entretien supérieures à 350 fr. pour chaque enfant, qui correspondraient à 28 % d’un salaire de 2'500 francs. Elle allègue que B.B.________, son second époux, réaliserait à l’heure actuelle un salaire annuel de l’ordre de 180'000 fr., car il aurait changé d’employeur et n’aurait ainsi plus le revenu qui était le sien au moment de l’audience du 16 janvier 2015. 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w:t>
      </w:r>
    </w:p>
    <w:p>
      <w:r>
        <w:t>- 12 - % lorsqu’il y en a quatre (CACI 11 juin 2014/315; CACI 28 mars 2012/156 c. 5; CACI 19 janvier 2012/38 c. 3b/aa; Bastons Bulletti, L’entretien après divorce : méthodes de calcul, montant, durée et limites, SJ 2007 II 77, spéc. pp. 107-108; Revue Suisse de Jurisprudence [RSJ] 1984 p. 392, n. 4 et note p. 393; Meier/Stettler, Droit de la filiation, 5e éd., 2014, n. 1076, pp. 712-713; TF 5A_178/2008 du 23 avril 2008 c. 3.3 et réf. cit.,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(CACI 11 juin 2014/315; CACI 28 mars 2012/156 c. 5; CACI 19 janvier 2012/38 c. 3b/aa; Bastons Bulletti, L’entretien après divorce : méthodes de calcul, montant, durée et limites, SJ 2007 II 77, spéc. pp. 107-108; RSJ 1984 p. 392, n. 4 et note p. 393; Meier/Stettler, op. cit., n. 1076, pp. 712-713; TF 5A_178/2008 du 23 avril 2008 c. 3.3 et réf. citées,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Ces critères s’appliquent à tous les enfants mineurs, indépendamment de l’état civil de leurs parents, à savoir que ceux-ci soient mariés ou non, séparés ou divorcés (CACI 19 janvier 2012/38 c. 3b/aa; CREC II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CREC II 11 juillet 2005/436).</w:t>
      </w:r>
    </w:p>
    <w:p>
      <w:r>
        <w:t>- 13 - c) Force est tout d'abord de constater que l’appelante ne démontre pas que les conditions d’application de l’art. 317 al. 1 CPC pour l'introduction à ce stade de faits nouveaux seraient réunies. Il ne saurait dès lors être tenu compte de l’allégation nouvelle relative aux revenus de son mari, au demeurant non prouvée. Il faut s’en tenir à la constatation que B.B.________ réalise comme employé de banque un revenu annuel net de l’ordre de 272'062 fr., soit un revenu très confortable. L'on constate ensuite qu'il n’y a pas lieu d’appliquer la méthode des pourcentages dans le cas présent. En effet, il est constant — l’appelante l’expose elle-même — que la répartition des rôles dans le mariage actuel de l’appelante est traditionnelle, en ce sens que le mari, qui gagne très confortablement sa vie, exerce l’activité lucrative permettant de subvenir aux besoins matériels du ménage, tandis que l’appelante tient le ménage et assure l’éducation et les soins des enfants. Or, en vertu du devoir d’assistance découlant de l’art. 278 al. 2 CC et de la jurisprudence y relative, telle que rappelée par le premier juge, on peut attendre du nouveau mari de l’appelante qu’il facilite le paiement des contributions en faveur des enfants du premier lit en acceptant que son épouse travaille à 50 % et réalise ainsi un revenu — dont elle n’a pas besoin pour assurer son propre entretien vu la répartition des tâches dans le mariage — qui lui permette de payer des contributions d’entretien conformes aux besoins des enfants. A cet égard, le montant de 700 fr. par enfant, soit 1'400 fr. pour les deux enfants, qui laisse à l’appelante un solde de plus de 40% sur le revenu hypothétique réalisable, apparaît adéquat au stade des mesures provisionnelles. L’ordonnance attaquée échappe ainsi à la critique dans son résultat. 5. Il résulte de ce qui précède que l’appel doit être rejeté selon le mode procédural de l’art. 312 al. 1 CPC et l’ordonnance attaquée confirmée. L’appelante, qui succombe, supportera les frais judiciaires de deuxième instance (art. 106 al. 1 CPC), lesquels doivent être fixés à 600 fr.</w:t>
      </w:r>
    </w:p>
    <w:p>
      <w:r>
        <w:t>- 14 - (art. 65 al. 2 TFJC [tarif du 28 septembre 2010 des frais judiciaires civils, RSV 270.11.5]). Il n’y a pas lieu d’allouer de dépens, dès lors que l’intimé n’a pas été invité à se déterminer sur l’appel et n’a donc pas encouru de frais pour la procédure de deuxième instance (art. 95 al. 3 CPC). Par ces motifs, le Juge délégué de la Cour d’appel civile du Tribunal cantonal, statuant en application de l'art. 312 al. 1 CPC, prononce : I. L’appel est rejeté. II. L’ordonnance est confirmée. III. Les frais judiciaires de deuxième instance, arrêtés à 600 fr. (six cent francs), sont mis à la charge de l’appelante A.B.________. IV. Il n’est pas alloué de dépens de deuxième instance. V. L’arrêt motivé est exécutoire. Le juge délégué : La greffière : Du 13 août 2015 Le dispositif de l'arrêt qui précède est communiqué par écrit aux intéressés. La greffière :</w:t>
      </w:r>
    </w:p>
    <w:p>
      <w:r>
        <w:t>- 15 - Du L'arrêt qui précède, dont la rédaction a été approuvée à huis clos, est notifié en expédition complète, par l'envoi de photocopies, à : - Me Christine Marti (pour l'appelante), - Me Irène Wettstein Martin (pour l'intimé).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civil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