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PD13.042091 vom 6. Februar 2014</w:t>
      </w:r>
    </w:p>
    <w:p>
      <w:r>
        <w:t>VD Tribunal cantonal, 2014-02-06, FR</w:t>
      </w:r>
    </w:p>
    <w:p>
      <w:r>
        <w:rPr>
          <w:b/>
        </w:rPr>
        <w:t xml:space="preserve">Quelle: </w:t>
      </w:r>
      <w:r>
        <w:t>https://mcp.opencaselaw.ch/entscheid/vd_gerichte_PD13.042091</w:t>
      </w:r>
    </w:p>
    <w:p>
      <w:r>
        <w:t>FR: VD_GERICHTE PD13.042091 du 6 février 2014</w:t>
      </w:r>
    </w:p>
    <w:p>
      <w:r>
        <w:t>IT: VD_GERICHTE PD13.042091 del 6 febbraio 2014</w:t>
      </w:r>
    </w:p>
    <w:p>
      <w:pPr>
        <w:pStyle w:val="Heading2"/>
      </w:pPr>
      <w:r>
        <w:t>Erwägungen</w:t>
      </w:r>
    </w:p>
    <w:p>
      <w:r>
        <w:rPr>
          <w:b/>
        </w:rPr>
        <w:t>E. 3</w:t>
      </w:r>
    </w:p>
    <w:p>
      <w:r>
        <w:t>L’appelant reproche au premier juge d’avoir maintenu le revenu hypothétique que lui avait imputé le juge du divorce en 2009 et qui était basé sur ses revenus à l’époque où il travaillait dans le domaine de la finance. Il soutient qu’il est incapable pour des raisons de santé de travailler dans ce domaine, raison pour laquelle il a décidé de se reclasser dans l’enseignement de l’économie et du droit, et qu’il lui est dès lors impossible de gagner plus d’argent tout en suivant sa nouvelle formation. Il allègue qu’il a fait un burn-out fin 2006 et début 2007, soit précisément au moment où il travaillait dans le domaine de la finance, et qu’il a aussi subi, en juin 2007, soit à la même période, un épisode de migraines céphalalgiques particulièrement éprouvant. Il soutient qu’il est considéré par le corps médical comme inapte à un emploi dans la finance, avec son lot de stress intense. Il fait en outre valoir que lors du jugement de divorce, personne n’a pu attirer son attention sur l’importance de son état de santé pour l’appréciation de sa capacité contributive, en particulier suite à son burn-out, arguant que ce n’est pas parce qu’il a refusé de faire appel à l’assurance-invalidité à l’époque de son AVC et de son burn-out qu’il n’a pas le droit de se réorienter. a) Selon l'art. 286 al. 2 CC, applicable par le renvoi de l'art. 134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(Breitschmid, Basler Kommentar, 4ème éd., 2010, n. 3 et 4 ad art. 134 CC, pp. 904-905; TF 5A_324/2009 du 25 mars 2010 c. 2.1.; ATF 120 II 177 c. 3a) ; elle peut intervenir sans qu'il soit besoin d'examiner si les faits</w:t>
      </w:r>
    </w:p>
    <w:p>
      <w:r>
        <w:t>- 10 - nouveaux invoqués pour la justifier étaient ou non prévisibles au jour du premier jugement (ATF 131 III 189 c. 2.7.4, JT 2005 I 324 ; ATF 128 III 305 c. 5b, JT 2003 I 50 ; TF 5C_214/2004 du 16 mars 2005 c. 2.1 ; Hegnauer, Berner Kommentar, 1997, n. 67 ad art. 286 CC, p. 385 ; Breitschmid, op. cit., n. 11 ad art. 286 CC, p. 1545). On présume néanmoins que la contribution d'entretien a été fixée en tenant compte des modifications prévisibles, soit celles qui, bien que futures, sont déjà certaines ou fort probables (TF 5A_562/2011 du 21 février 2012 c. 4.2, rés. RMA 2012 p. 300). La procédure de modification ne doit pas viser à réexaminer ou corriger le jugement de divorce, mais à l'adapter aux circonstances nouvelles survenues chez les parents ou chez l'enfant (ATF 131 III 189 c. 2.7.4; ATF 120 II 177 c. 3a). Ainsi, le juge de la modification est lié par les constatations de fait sur lesquelles s'est fondé le juge du divorce, notamment quant aux revenus respectifs des parties au moment du divorce (TF 5A_685/2007 du 26 février 2008 c. 2.2.; ATF 117 II 359 c. 6, JT 1994 I 322). Pour déterminer si la situation a notablement changé, au point qu'une autre décision s'impose, il faut examiner dans quelle mesure les capacités financières et les besoins respectifs des parties ont évolué depuis le divorce (TF 5A_324/2009 du 25 mars 2010 c. 2.1; ATF 131 III 189 c. 2.7.4). La proportion entre les pensions et les revenus du débirentier telle qu'arrêtée dans la convention sur les effets accessoires du divorce doit en principe être respectée en cas de modification du jugement de divorce (ATF 108 II 30 c. 8, JT 1984 I 255). La modification d'un jugement de divorce sur la question du sort des enfants est régie par l'art. 134 CC (art. 284 al. 1 CPC). Aux termes de l'art. 284 al. 3 CPC, la procédure de divorce sur requête unilatérale s’applique par analogie à la procédure contentieuse de modification. Le Code de procédure civile ne règle pas expressément la question des mesures provisionnelles dans le cadre d'une telle procédure. Toutefois, en tant que disposition générale de la procédure de divorce (art. 271 ss CPC), l'art. 276 CPC relatif aux mesures provisionnelles devrait également s'appliquer par analogie dans le cadre d'une procédure en modification de jugement de divorce (Sutter-Somm/Seiler, in Sutter- Somm/Hasenböhler/Leuenberger Kommentar zur Schweizerischen</w:t>
      </w:r>
    </w:p>
    <w:p>
      <w:r>
        <w:t>- 11 - Zivilprozessordnung, Zurich 2010, n. 32 ad art. 284 CPC, p. 1671 s.; van der Graaf, in Kurzkommentar ZPO, Bâle 2010, n. 6 ad art. 284 CPC, p. 1099; Siehr, in Basler Kommentar, Bâle 2010, n. 8 ad art. 284 CPC, p. 1384; Schwenzer, FamKomm Scheidung, Band I: ZGB, Berne 2011, n. 52 ad art. 129 CC, p. 318; contra Tappy, CPC commenté, Bâle 2011, n. 8 ad art. 276 CPC, p. 1088, qui considère que les procédures en divorce et en modification de divorce présentent des différences telles qu'il serait plus satisfaisant de soumettre les mesures provisionnelles requises en cas de modification du jugement de divorce aux règles ordinaires concernant la protection provisionnelle, notamment les art. 261 ss CPC). Quoi qu'il en soit, la jurisprudence antérieure à l'entrée en vigueur du Code de procédure civile reste inchangée. Selon celle-ci, la suppression à titre provisionnel d'une contribution d'entretien dans le cadre d'une procédure de modification de jugement de divorce n'est admise que restrictivement et présuppose une urgence et des circonstances particulières (ATF 118 II 228; TF 5P.101/2005 du 12 août 2005 c. 3; Tappy, Commentaire romand, n. 4 ad art. 137 CC; Juge délégué CACI 26 janvier 2012 c. 3 b) bb). Des mesures provisionnelles dans un procès en modification ne peuvent ainsi être ordonnées que sur la base de circonstances de fait limpides, qui permettent d’évaluer de manière suffisamment fiable l’issue prévisible du procès au fond (TF 5P_415/2004 du 5 janvier 2005 c. 3.1; TF 5P_349/2001 du 6 novembre 2001 c. 4 et TF 5P_269/2004 du 3 novembre 2004 c. 2, avec références à Bühler/Spühler, Berner Kommentar, 1980, n. 91 ad art. 153 aCC). Le pronostic se rapporte à la question de savoir si une modification notable et durable des circonstances justifie de réduire ou de supprimer une contribution d’entretien fixée par un jugement entré en force, ce qu’il incombe à la partie qui requiert des mesures provisionnelles de rendre vraisemblable sur la base d’éléments objectifs (TF 5P_415/2004 du 5 janvier 2005 c. 3.1; ATF 118 II 378 c. 3b; ATF 120 II 393 c. 4c). En outre, le débiteur d’entretien, demandeur au procès en modification, qui requiert la réduction ou la suppression de la contribution d’entretien à titre provisionnel doit rendre vraisemblable que le maintien de la contribution d’entretien pendant la durée du procès en modification risque de lui causer un préjudice difficilement réparable, lequel doit être mis en balance</w:t>
      </w:r>
    </w:p>
    <w:p>
      <w:r>
        <w:t>- 12 - avec le préjudice que subirait le créancier d’entretien, défendeur au procès en modification, en cas d’octroi des mesures provisionnelles sollicitées (Bohnet, CPC commenté, n. 14 et 17 ad art. 261 CPC). Comme pour toutes les mesures provisionnelles, le juge doit pondérer le droit présumé du requérant à la mesure conservatoire avec les conséquences irréparables que celle-ci peut entraîner pour l’intimé (cf. ATF 131 III 473 c. 2.3; Juge délégué CACI 6 juillet 2012/316; Juge délégué CACI 7 août 2013/391). b)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juger si l'on peut raisonnablement exiger de cette personne qu'elle exerce une activité lucrative ou augmente celle-ci, eu égard, notamment, à sa formation, à son âge et à son état de santé; il s'agit d'une question de droit (arrêts précités TF 5A_99/2011 c. 7.4.1; TF 5A_18/2011 c. 3.1.1; TF 5A_290/2010 c. 3.1).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 4.2.2.2 p. 108; ATF 128 III 4 c. 4c/bb pp. 7s).</w:t>
      </w:r>
    </w:p>
    <w:p>
      <w:r>
        <w:t>- 13 - Le débirentier qui décide de changer d'orientation professionnelle, alors qu'il sait, ou doit savoir, qu'il doit assumer des obligations d'entretien, peut raisonnablement se voir imputer un revenu hypothétique, ce avec effet rétroactif au jour de la diminution (ATF 137 III 118 c. 3.1 p. 121),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(TF 5A_100/2012 du 30 août 2012 c. 4.1.1).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 3.1, JT 2011 II 486; TF 5A_21/2012 du 3 mai 2012 c. 3.3). Les parents doivent ainsi s'adapter tant du point de vue professionnel que du point de vue spatial pour épuiser de manière maximale leur capacité de travail (TF 5A_513/2012 du 17 octobre 2012 c. 5, in La Pratique de la famille [FamPra.ch] 2013 p. 236). De manière générale, on peut retenir que plus la situation financière est précaire, plus il apparaît justifié d'imputer un revenu hypothétique lors du calcul des contributions dues (Burgat, Le revenu hypothétique en cas de séparation ou de divorce, Newsletter DroitMatrimonial.ch septembre 2011; Juge délégué CACI 15 août 2012/382). c) La modification ou la suppression d’une contribution d’entretien n’est possible que si les circonstances ayant prévalu à la fixation originaire de la contribution ont subi un changement notable et, en principe, durable. A l’appui de son appel, l’appelant a produit de nombreux certificats médicaux attestant son incapacité de travail à 100 %</w:t>
      </w:r>
    </w:p>
    <w:p>
      <w:r>
        <w:t>- 14 - du 13 mars 2007 au 30 mai 2007 environ, avec de brèves périodes d'interruption. Ces documents ne précisent toutefois pas la pathologie qui a provoqué ces incapacités de travail. Le diagnostic de burn-out n’a en particulier pas été posé et certains certificats médicaux établis par des praticiens différents concernent les mêmes périodes. Comme grief à l’encontre de l’ordonnance attaquée, l’appelant allègue qu’en raison de son burn-out de 2006/2007, il lui est impossible de travailler dans le monde stressant de la finance, de sorte qu’un revenu hypothétique de 5'000 à 7'000 fr. ne saurait être retenu. Force est toutefois de constater que, dans son jugement du 28 mai 2009, le juge du divorce avait connaissance du burn-out de l’appelant, puisqu'il en a fait mention dans le jugement rendu, et que malgré cela, il a considéré en se basant sur le parcours professionnel et académique de l’appelant que celui-ci était en mesure d’obtenir un revenu mensuel compris entre 5'000 et 7'000 francs. Cette interprétation prête d'autant moins le flanc à la critique que le fait que l’appelant ait présenté un burn-out en travaillant auprès d’un employeur particulier ne signifie pas encore qu’il ne pouvait pas travailler auprès d’un autre employeur dans le même secteur d’activité ou que son activité habituelle n’était pas adaptée à son état de santé. Les faits invoqués par l’appelant ne sont dès lors pas nouveaux et sa procédure en modification du jugement de divorce vise prima facie à réexaminer le jugement de divorce, mais non à l’adapter à des circonstances nouvelles, ce qui est contraire à l’art. 286 CC. L’appelant soutient également qu’il est incapable sur le plan médical d’exercer une activité dans le domaine de la finance ou de travailler dans une position statique devant un ordinateur durant plusieurs heures. Aucune des pièces fournies par l’appelant ne permet toutefois d’établir que le corps médical s’oppose ou lui déconseille de travailler dans la finance ou devant un ordinateur pendant plusieurs heures. En effet, le rapport du 28 juin 2007 ne mentionne pas d’AVC, mais des migraines acéphalalgiques. Le status neurologique n’était pas pathologique et le CT scan était dans la norme. Seul un suivi "céphalées" en ambulatoire a été</w:t>
      </w:r>
    </w:p>
    <w:p>
      <w:r>
        <w:t>- 15 - proposé ensuite de cet épisode de migraines. En outre, l’appelant décrit le 28 juin 2007 une période de surmenage depuis cinq à six mois alors qu’en réalité, il n'était en incapacité de travail que depuis deux mois et demi. Les autres certificats médicaux, qui ne font qu’attester des incapacités de travail, n’apportent pas d’éléments de nature à prouver les allégations de l’appelant et le fait que celui-ci ait présenté une incapacité de travail de deux mois et demi ou un épisode de migraines dans un emploi particulier ne signifie pas encore qu’il présente une atteinte à la santé durable et importante l’empêchant d’exercer toute activité dans les secteurs de la finance ou de la gestion. Il est par ailleurs retourné à ce type d’activité de mars à juillet 2013. En ce qui concerne les limitations fonctionnelles décrites par l’appelant, outre le fait qu’elles ne sont pas établies, on imagine mal qu’il puisse parvenir à de bons résultats dans ses études sans consacrer quotidiennement plusieurs heures à la lecture, la pratique et l’établissement de rapports ou travaux écrits à l’aide des outils informatiques. Partant, il convient de maintenir le salaire hypothétique retenu tant au moment du divorce que par l’ordonnance attaquée. L’âge et les différentes, mais nombreuses, formations de l’appelant, doivent lui permettre de trouver une situation professionnelle stable afin qu’il assume ses responsabilités de père. A l’instar du premier juge, on constate que l’appelant ayant acquis depuis le jugement du divorce, en plus de ses autres formations, un master HEC en contrôle de gestion, il est à même de trouver, dans ce domaine ou dans celui de la finance, un emploi apte à lui procurer un revenu à tout le moins identique à celui retenu dans le jugement de divorce. En effet, rien ne l’obligeait à reprendre des études, alors qu’il avait des obligations familiales à respecter. Par conséquent, l’appelant n’a pas démontré que sa situation personnelle et professionnelle s'est modifiée d’une façon telle que cela justifierait une diminution de la contribution d’entretien due pour ses enfants au stade des mesures provisionnelles. L’appelant continue à soutenir la nécessité d’obtenir des diplômes supplémentaires, alors même que le jugement de divorce lui</w:t>
      </w:r>
    </w:p>
    <w:p>
      <w:r>
        <w:t>- 16 - imposait un revenu hypothétique, en tenant compte d’un éventuel emploi qu’il pouvait, à ce stade, trouver facilement. Enfin, on ne peut que confirmer le constat du premier juge selon lequel la contribution d'entretien fixée par le jugement de divorce n’entame pas le minimum vital de l’appelant. En effet, avec un revenu hypothétique de 5'000 fr. à 7'000 fr., le minimum vital de l’appelant, même avec un loyer important au vu de sa situation personnelle, est largement couvert. Ainsi, la contribution d’entretien due ne doit pas non plus être modifiée sur cette base.</w:t>
      </w:r>
    </w:p>
    <w:p>
      <w:r>
        <w:rPr>
          <w:b/>
        </w:rPr>
        <w:t>E. 4</w:t>
      </w:r>
    </w:p>
    <w:p>
      <w:r>
        <w:t>Au vu de ce qui précède, l’appel doit être rejeté et l’ordonnance confirmée. Les frais judiciaires de deuxième instance, arrêtés à 600 fr. (art. 65 al. 3 TFJC), sont laissés à la charge de l’Etat (art. 122 al. 1 let. b CPC), dès lors que l'appelant qui succombe bénéficie de l’assistance judiciaire. En sa qualité de conseil d’office de l'appelant, Me Regina Andrade Ortuno a droit à une rémunération équitable pour ses opérations et débours dans la procédure d’appel (art. 122 al. 1 let. a CPC). Celle-ci a produit une liste des opérations indiquant 9.59 heures consacrées à la procédure de deuxième instance. Vu le litige, d’une relative simplicité, et les opérations effectuées, ce décompte paraît légèrement excessif et doit être réduit. Une indemnité correspondant à 7.59 heures, dont 1.34 heures de travail d'avocat, au tarif horaire de 180 fr. hors TVA, et 6.25 heures de travail d’avocat-stagiaire, au tarif horaire de 110 fr. (art. 2 al. 1 let. a et b RAJ [Règlement sur l'assistance judiciaire en matière civile, RSV 211.02.3]), apparaît suffisante et adéquate au regard des opérations effectuées. L’indemnité d’office due à Me Andrade Ortuno doit ainsi être arrêtée à 987 fr. 83 pour ses honoraires, plus 79 fr. 02 de TVA au taux de 8% et un montant de 89 fr. 65, TVA comprise, pour ses débours, soit une indemnité totale de 1'156 fr. 50.</w:t>
      </w:r>
    </w:p>
    <w:p>
      <w:r>
        <w:t>- 17 - Me Nadia Calabria, conseil d’office de l'intimée, a également droit à une rémunération équitable pour ses opérations et débours dans la procédure d’appel. Celle-ci a produit une liste des opérations indiquant 3.36 heures consacrées à la procédure de deuxième instance. L’indemnité d’office due à Me Calabria doit ainsi être arrêtée à 648 fr. pour ses honoraires, plus 51 fr. 85 de TVA et 27 fr. 95, TVA comprise, pour ses débours, soit une indemnité totale de 727 fr. 80. Les bénéficiaires de l’assistance judiciaire sont, dans la mesure de l’art. 123 CPC, tenus au remboursement des frais judiciaires et de l’indemnité du conseil d’office mis à la charge de l’Etat. L’appelant ayant succombé, des dépens de deuxième instance, arrêtés à 800 fr., sont mis à sa charge en faveur de l’intimée (art. 122 al. 1 let. d CPC). Par ces motifs, la juge déléguée de la Cour d’appel civile du Tribunal cantonal, statuant à huis clos, prononce : I. L’appel est rejeté. II. L’ordonnance est confirmée. III. Les frais judiciaires de deuxième instance, arrêtés à 600 fr. (six cents francs), sont laissés à la charge de l’Etat. IV. L’indemnité d’office de Me Andrade Ortuno, conseil d’office de l’appelant, est arrêtée à 1'156 fr. 50 (mille cent cinquante-six francs et cinquante centimes), celle de Me Calabria, conseil d’office de l’intimée, à 727 fr. 80 (sept cent vingt-sept francs et huitante centimes).</w:t>
      </w:r>
    </w:p>
    <w:p>
      <w:r>
        <w:t>- 18 - V. Les bénéficiaires de l’assistance judiciaires sont, dans la mesure de l’art. 123 CPC, tenus au remboursement des frais judiciaires et de l’indemnité du conseil d’office mis à la charge de l’Etat. VI. L’appelant A.K.________ doit verser à l’intimée B.K.________ la somme de 800 fr. (huit cents francs) à titre de dépens de deuxième instance. VII. L’arrêt motivé est exécutoire. La juge déléguée : La greffière : Du 7 février 2014 Le dispositif de l'arrêt qui précède est communiqué par écrit aux intéressés. La greffière : Du L'arrêt qui précède, dont la rédaction a été approuvée à huis clos, est notifié en expédition complète, par l'envoi de photocopies à : - Me Regina Andrade Ortuno (pour A.K.________),</w:t>
      </w:r>
    </w:p>
    <w:p>
      <w:r>
        <w:t>- 19 - - Me Nadia Calabria (pour B.K.________).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