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PC26.003256 vom 3. März 2026</w:t>
      </w:r>
    </w:p>
    <w:p>
      <w:r>
        <w:t>VD Tribunal cantonal, 2026-03-03, FR</w:t>
      </w:r>
    </w:p>
    <w:p>
      <w:r>
        <w:rPr>
          <w:b/>
        </w:rPr>
        <w:t xml:space="preserve">Quelle: </w:t>
      </w:r>
      <w:r>
        <w:t>https://mcp.opencaselaw.ch/entscheid/vd_gerichte_PC26.003256</w:t>
      </w:r>
    </w:p>
    <w:p>
      <w:r>
        <w:t>FR: VD_GERICHTE PC26.003256 du 3 mars 2026</w:t>
      </w:r>
    </w:p>
    <w:p>
      <w:r>
        <w:t>IT: VD_GERICHTE PC26.003256 del 3 marzo 2026</w:t>
      </w:r>
    </w:p>
    <w:p>
      <w:pPr>
        <w:pStyle w:val="Heading2"/>
      </w:pPr>
      <w:r>
        <w:t>Erwägungen</w:t>
      </w:r>
    </w:p>
    <w:p>
      <w:r>
        <w:rPr>
          <w:b/>
        </w:rPr>
        <w:t>E. 2</w:t>
      </w:r>
    </w:p>
    <w:p>
      <w:r>
        <w:t>M’autoriser immédiatement à m’inscrire à une formation universitaire à distance.</w:t>
      </w:r>
    </w:p>
    <w:p>
      <w:r>
        <w:rPr>
          <w:b/>
        </w:rPr>
        <w:t>E. 3</w:t>
      </w:r>
    </w:p>
    <w:p>
      <w:r>
        <w:t>Ordonner immédiatement mon transport au sein d’un établissement d’exécution des peines, à savoir en l’espèce Bellechasse.</w:t>
      </w:r>
    </w:p>
    <w:p>
      <w:r>
        <w:rPr>
          <w:b/>
        </w:rPr>
        <w:t>E. 3.2</w:t>
      </w:r>
    </w:p>
    <w:p>
      <w:r>
        <w:t>;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7B_11/2024 précité consid. 3.2 ; TF 7B_51/2024 du 25 avril 2024 consid. 2.2.2 ; TF 6B_1447/2022 du 14 mars 2023 consid. 1.1). 1.3 En l’espèce, dans un acte manuscrit de vingt-six pages, le recourant plaide le fond en soutenant qu’il aurait subi 2'200 jours de détention dans des conditions illicites. Il invoque avoir enduré des durées quotidiennes excessives de confinement en cellule et de multiples violations de la LEDJ (loi vaudoise sur l'exécution de la détention avant jugement du</w:t>
      </w:r>
    </w:p>
    <w:p>
      <w:r>
        <w:rPr>
          <w:b/>
        </w:rPr>
        <w:t>E. 4</w:t>
      </w:r>
    </w:p>
    <w:p>
      <w:r>
        <w:t>Production, respectivement ordre de dépôt, par la présidente de la Commission des visiteurs du Grand Conseil, Mme D.________, du rapport établi par ladite Commission suite à sa dernière visite de la Q.________.</w:t>
      </w:r>
    </w:p>
    <w:p>
      <w:r>
        <w:rPr>
          <w:b/>
        </w:rPr>
        <w:t>E. 5</w:t>
      </w:r>
    </w:p>
    <w:p>
      <w:r>
        <w:t>Audition en qualité de témoin de Mme D.________, Secrétariat général du Grand Conseil, Place du Château 6, 1014 Lausanne. ». 12J010</w:t>
      </w:r>
    </w:p>
    <w:p>
      <w:r>
        <w:t>- 4 - Il n’a pas été ordonné d’échange d’écritures. En dro it : 1. 1.1 Aux termes de l’art. 393 al. 1 let. c CPP (Code de procédure pénale suisse du 5 octobre 2007 ; RS 312.0), le recours est recevable contre les décisions du Tribunal des mesures de contrainte, pour autant que le présent code ne les qualifie pas de définitives. Le recours doit être motivé et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12J010</w:t>
      </w:r>
    </w:p>
    <w:p>
      <w:r>
        <w:t>- 5 -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7B_11/2024 du 27 juin 2025 consid.</w:t>
      </w:r>
    </w:p>
    <w:p>
      <w:r>
        <w:rPr>
          <w:b/>
        </w:rPr>
        <w:t>E. 7</w:t>
      </w:r>
    </w:p>
    <w:p>
      <w:r>
        <w:t>novembre 2006 ; BLV 312.07) et du RSDAJ (règlement sur le statut des personnes détenues placées en établissement de détention avant jugement 12J010</w:t>
      </w:r>
    </w:p>
    <w:p>
      <w:r>
        <w:t>- 6 - du 28 novembre 2018 ; BLV 340.02.5), relativement à leur objectif de réinsertion sociale, au droit à un procès équitable, à la transmission de divers règlements et directives, au droit à être logé dans une cellule individuelle, au temps imparti pour exercer des activités hors de la cellule, à l’accès aux livres et aux journaux, à la qualité et à la variété de la nourriture, à la possibilité de se procurer une activité auprès d’un employeur privé, à la possibilité de s’inscrire à des cours par correspondance ou à des programmes de formation ou de développement personnel et à l’accès à Internet. Il soutient en outre que la disposition du RSDAJ relative au nombre et au poids des colis autorisés constituerait une atteinte grave à la garantie de la propriété et à la liberté personnelle et qu’elle ne respecterait pas le principe de la proportionnalité, et que le droit de bénéficier de visites et d’appels téléphoniques serait insuffisant dans son cas. Il fait enfin valoir la durée ininterrompue de ses conditions illicites de détention depuis son incarcération et relève l’absence de prise en charge médicale adéquate et suffisante et l’impossibilité de faire contrôler la compatibilité de son état de santé avec la détention. Ce faisant, le recourant se borne à exposer à nouveau les conditions qu’il dénonce, sans argumenter sur le plan procédural et, partant, sans indiquer pourquoi le premier juge aurait eu tort de refuser d’entrer en matière sur sa requête en constatation de l’illicéité de ses conditions de détention. Il ne conteste pas le raisonnement du Tribunal des mesures de contrainte, selon lequel sa requête serait irrecevable pour le motif que la cause relèverait du juge du fond, à savoir de la Cour d’appel pénale, et ne développe aucune argumentation sur laquelle il pourrait prétendre se fonder pour faire modifier la décision entreprise en sa faveur. Faute de motivation topique, le recours ne satisfait dès lors pas aux exigences de l'art. 385 al. 1 CPP et doit donc être déclaré irrecevable. Un tel défaut de motivation ne saurait en effet justifier qu’un délai supplémentaire soit imparti au recourant pour compléter son acte en application de l’art. 385 al. 2 CPP. 1.4 Par surabondance, même à supposer recevable, le recours aurait dû être rejeté. Le Tribunal des mesures de contrainte s’est en effet 12J010</w:t>
      </w:r>
    </w:p>
    <w:p>
      <w:r>
        <w:t>- 7 - fondé, pour déclarer la requête irrecevable, sur le fait qu’un appel était pendant devant la Cour d’appel pénale, autorité devant laquelle le recourant allait pouvoir prendre des conclusions en réparation. C’est toutefois à tort que le premier juge a considéré que le condamné aurait l’occasion de requérir une réduction de peine devant l’autorité d’appel en prenant des conclusions en réparation, dans la mesure où, à la suite du renvoi de la cause par le Tribunal fédéral, la période d’incarcération antérieure à l’arrêt de la Cour d’appel pénale du 6 juin 2023 ne saurait être revue par cette autorité, le Tribunal fédéral n’ayant admis le recours que très partiellement sur la question de l’internement uniquement. Cela étant, pour pouvoir se prévaloir, après l’entrée en force du jugement le condamnant, d’un intérêt à la constatation qu’il revendique, le recourant ne peut pas non plus s’adresser au Tribunal des mesures de contrainte, mais doit faire valoir ses prétentions devant le juge compétent selon la loi vaudoise sur la responsabilité de l'Etat, des communes et de leurs agents (LRECA ; BLV 170.11). En effet, une fois le jugement entré en force, la question de l'indemnisation d'une éventuelle détention dans des conditions illicites avant jugement ne relève alors plus que du droit cantonal ordinaire en matière de responsabilité de l'Etat (cf. ATF 148 I 145 consid. 3- 4 ; TF 6B_1015/2020 du 16 décembre 2021 consid. 2.4.1 et 2.4.2 ; TF 6B_1071/2015 du 18 juillet 2016 consid. 4.2). Or, l’action civile apparaît manifestement prescrite en l’espèce, l’art. 7 LRECA soumettant de telles prétentions en dommages-intérêts à un délai de prescription d'une année dès la connaissance du dommage. Quoi qu’il en soit, faute d’être compétent pour constater l’illicéité des conditions de détention du recourant à ce stade, le Tribunal des mesures de contrainte aurait donc en tout état de cause dû déclarer la requête du condamné irrecevable. Ainsi, en définitive, même à supposer recevable, le recours aurait dû être rejeté, dès lors que, par substitution de motifs, la décision d’irrecevabilité rendue par le Tribunal des mesures de contrainte aurait été fondée. 2. En définitive, le recours doit être déclaré irrecevable, sans échange d’écritures (art. 390 al. 2 CPP). 12J010</w:t>
      </w:r>
    </w:p>
    <w:p>
      <w:r>
        <w:t>- 8 -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770 fr. (sept cent septante francs), sont mis à la charge de E.________. III. L’arrêt est exécutoire. La présidente : La greffière : Du Le présent arrêt, dont la rédaction a été approuvée à huis clos, est notifié, par l'envoi d'une copie complète, à : - M. E.________, - Ministère public central, et communiqué à : - Mme la Présidente du Tribunal des mesures de contrainte, par l’envoi de photocopies. 12J010</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