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PC20.021334 vom 2. März 2021</w:t>
      </w:r>
    </w:p>
    <w:p>
      <w:r>
        <w:t>VD Tribunal cantonal, 2021-03-02, FR</w:t>
      </w:r>
    </w:p>
    <w:p>
      <w:r>
        <w:rPr>
          <w:b/>
        </w:rPr>
        <w:t xml:space="preserve">Quelle: </w:t>
      </w:r>
      <w:r>
        <w:t>https://mcp.opencaselaw.ch/entscheid/vd_gerichte_PC20.021334</w:t>
      </w:r>
    </w:p>
    <w:p>
      <w:r>
        <w:t>FR: VD_GERICHTE PC20.021334 du 2 mars 2021</w:t>
      </w:r>
    </w:p>
    <w:p>
      <w:r>
        <w:t>IT: VD_GERICHTE PC20.021334 del 2 marzo 2021</w:t>
      </w:r>
    </w:p>
    <w:p>
      <w:pPr>
        <w:pStyle w:val="Heading2"/>
      </w:pPr>
      <w:r>
        <w:t>Erwägungen</w:t>
      </w:r>
    </w:p>
    <w:p>
      <w:r>
        <w:rPr>
          <w:b/>
        </w:rPr>
        <w:t>E. 2</w:t>
      </w:r>
    </w:p>
    <w:p>
      <w:r>
        <w:t>septembre 2019 dans les cellules nos 128, 151 et 333 à la prison du Bois- Mermet n’étaient pas conformes aux dispositions légales en la matière et étaient dès lors illicites (I) et à ce qu’il lui soit donné réserve pour agir devant l’autorité judiciaire civile compétente selon le droit cantonal régissant la responsabilité de l’Etat (II). Subsidiairement, il a conclu à l’annulation de cette ordonnance et au renvoi de la cause au Tribunal des mesures de contrainte pour nouvelle décision dans le sens des considérants de l’arrêt à intervenir. A titre de mesures d’instruction, le recourant a requis une inspection locale à la Prison du Bois-Mermet, dans les cellules qu’il a occupées (nos 128, 151 et 333), en vue d’établir avec précision la surface occupée par les installations sanitaires. Le Tribunal des mesures de contrainte, par courrier du 3 février 2021, et le Ministère public, par courrier du 4 février 2021, ont déclaré renoncer à se déterminer, se référant intégralement aux motifs de l’ordonnance du 14 janvier 2021. En réponse à la requête de la cour de céans, la direction de la Prison du Bois-Mermet a fourni, par courrier du 16 février 2021, un croquis de la cellule n° 333, de même qu’une liste précisant les dimensions de cette dernière.</w:t>
      </w:r>
    </w:p>
    <w:p>
      <w:r>
        <w:t>- 5 - Par courrier du 25 février 2021, X.________ s’est déterminé sur les pièces produites par la direction de la Prison du Bois-Mermet, indiquant notamment qu’il contestait la surface nette retenue pour les installations sanitaires de la cellule n° 333, estimant qu’il y aurait lieu de porter en déduction de la surface individuelle également l’espace qui se situe autour des installations sanitaires. Il a confirmé les conclusions prises au pied de son recours du 25 janvier 2021.</w:t>
      </w:r>
    </w:p>
    <w:p>
      <w:r>
        <w:t>- 6 - En d roit : 1. 1.1 Selon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 BLV 173.01]). 1.2 En l'espèce, interjeté en temps utile auprès de l'autorité compétente, par le détenu qui a qualité pour recourir (art. 382 al. 1 CPP), et dans les formes prescrites (art. 385 al. 1 CPP), le recours est recevable.</w:t>
      </w:r>
    </w:p>
    <w:p>
      <w:r>
        <w:rPr>
          <w:b/>
        </w:rPr>
        <w:t>E. 2.1</w:t>
      </w:r>
    </w:p>
    <w:p>
      <w:r>
        <w:t>Le recourant conteste l’appréciation du Tribunal des mesures de contrainte et fait valoir que cette autorité aurait arbitrairement fixé à 1 m2 et 1,5 m2 la surface des sanitaires dans les différentes cellules occupées au sein de la Prison du Bois-Mermet. Selon lui, il aurait été nécessaire de procéder à une inspection locale desdites cellules, le tribunal ayant violé son droit à la preuve et la maxime d’instruction en retenant arbitrairement une surface de 1,5 m2 dédiée aux installations sanitaires au lieu de procéder à une inspection locale.</w:t>
      </w:r>
    </w:p>
    <w:p>
      <w:r>
        <w:t>- 7 -</w:t>
      </w:r>
    </w:p>
    <w:p>
      <w:r>
        <w:rPr>
          <w:b/>
        </w:rPr>
        <w:t>E. 2.1.3</w:t>
      </w:r>
    </w:p>
    <w:p>
      <w:r>
        <w:t>S’agissant plus précisément de la situation de la prison genevoise de Champ-Dollon, le Tribunal fédéral a jugé qu'en cas de surpopulation carcérale, l'occupation d'une cellule dite individuelle par trois détenus – chacun disposant d'un espace individuel de 4 m2, restreint</w:t>
      </w:r>
    </w:p>
    <w:p>
      <w:r>
        <w:t>- 9 - du mobilier, – était une condition de détention difficile ;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 TF 6B_1205/2018 du 22 février 2019 consid. 2.1 ; TF 1B_325/2017 du 14 novembre 2017 consid. 3.3 ; TF 6B_1244/2016 du 31 octobre 2017 consid. 2.1 ; TF 6B_688/2015 du 19 mai 2016 consid. 7.2).</w:t>
      </w:r>
    </w:p>
    <w:p>
      <w:r>
        <w:rPr>
          <w:b/>
        </w:rPr>
        <w:t>E. 2.2.1</w:t>
      </w:r>
    </w:p>
    <w:p>
      <w:r>
        <w:t>Au niveau conventionnel, l'art. 3 CEDH,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 RS 312.0)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r>
        <w:rPr>
          <w:b/>
        </w:rPr>
        <w:t>E. 2.2.2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w:t>
      </w:r>
    </w:p>
    <w:p>
      <w:r>
        <w:t>- 8 - (Härri, op. cit., n. 6 ad art. 235 CPP). Le Tribunal fédéral en tient cependant compte dans la concrétisation de la liberté personnelle et des autres droits fondamentaux garantis par la Cst. et par la CEDH (ATF 141 I 141 consid. 6.3.3 ; ATF 140 I 125 consid. 3.2 ; ATF 139 IV 41 consid. 3.2 ;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w:t>
      </w:r>
    </w:p>
    <w:p>
      <w:r>
        <w:rPr>
          <w:b/>
        </w:rPr>
        <w:t>E. 2.2.4</w:t>
      </w:r>
    </w:p>
    <w:p>
      <w:r>
        <w:t>Depuis lors, le Tribunal fédéral – s'inspirant également de la jurisprudence de la Cour européenne des droits de l'homme (cf. arrêts cités à l'ATF 140 I 125 consid. 3.4 ;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w:t>
      </w:r>
    </w:p>
    <w:p>
      <w:r>
        <w:t>- 10 -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 violation de l’art. 3 CEDH (cf. arrêt Mursic contre Croatie précité §140; TF 1B_330/2020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w:t>
      </w:r>
    </w:p>
    <w:p>
      <w:r>
        <w:t>- 11 - cellule et permettait de considérer que la détention dans de telles conditions ne constituait pas un traitement dégradant portant atteinte à la dignité humaine ; ce d'autant lorsque les codétenus partageant la cellule étaient aussi absents quotidiennement pendant plusieurs heures, à des moments différents ; le Tribunal fédéral a encore estimé que le fait de passer durant 201 jours</w:t>
      </w:r>
    </w:p>
    <w:p>
      <w:r>
        <w:rPr>
          <w:b/>
        </w:rPr>
        <w:t>E. 2.2.5</w:t>
      </w:r>
    </w:p>
    <w:p>
      <w:r>
        <w:t>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m2 (CREP 5 septembre 2019/728, consid. 2.2.1; CREP 15 août 2019/654 consid. 2.2).</w:t>
      </w:r>
    </w:p>
    <w:p>
      <w:r>
        <w:rPr>
          <w:b/>
        </w:rPr>
        <w:t>E. 2.3</w:t>
      </w:r>
    </w:p>
    <w:p>
      <w:r>
        <w:t>En l’espèce, c’est en vain que le recourant conteste le calcul des surfaces des cellules occupées tel qu’effectué par le Tribunal des mesures de contrainte. En effet, en tenant compte de la déduction usuelle de 1,5 m2 pour la surface dédiée aux sanitaires, le tribunal a agi de manière conforme à la jurisprudence constante en la matière (cf. récemment TF 1B_330/2020 du 2 décembre 2020 consid. 4.3, se référant aux arrêts de la CourEDH). Au demeurant à la lecture des plans de la cellule n° 333 fournis par la Prison du Bois-Mermet, on constate que la surface occupée par les sanitaires est de 0,5 m2 (P. 16/1). Ainsi, même à admettre l’argument du recourant selon lequel les surfaces retenues ne tiendraient pas compte de « l’espace qui se situe autour des installations sanitaires et qui aurait été délimité par une cloison (ou un rideau ignifuge, comme c’est le cas en l’espèce) », on rappellera que le Tribunal des mesures de contrainte n’a pas déduit uniquement les 0,5 m2 représentant la surface effective des sanitaires, mais bien 1,5 m2 à ce titre. En</w:t>
      </w:r>
    </w:p>
    <w:p>
      <w:r>
        <w:t>- 12 - conséquence la déduction effectuée apparaît largement suffisante pour tenir compte de l’espace invoqué. S’agissant des cellules nos 128 et 151, dont la surface individuelle nette a été calculée à respectivement 8,13 et 4,77 m2, on relèvera que même en portant la déduction pour l’espace sanitaire à plus de 2 m2, la surface individuelle nette demeurerait supérieure à 4 m2. Au vu de ce qui précède, c’est à juste titre que le Tribunal des mesures de contrainte a retenu que la surface individuelle des cellules nos128, 151 et 333 était supérieure à 4 m2. Enfin, une surface individuelle de plus de 4 m2 ne permet pas dans tous les cas de nier une violation de l'art. 3 CEDH. Toutefois, il convient de relever, d’une part, que le recourant n’invoque pas, au stade du recours, de circonstances notoirement aggravantes. D’autre part, le recourant ne saurait se prévaloir de manière générale de toute circonstance possible et imaginable pour soutenir que sa détention aurait été rendue plus pénible. En particulier, rien n’indique que durant la période de détention en cause, le recourant se soit plaint auprès de la direction de la Prison du Bois-Mermet d’une ou l’autre circonstances aggravantes invoquées dans sa requête du 2 décembre 2020 (température, aération, etc). Si ces prétendues circonstances aggravantes avaient été présentes et avaient revêtu une gravité telle qu’elles auraient pu être assimilées à de la torture ou à un traitement cruel ou inhumain, la logique et la bonne foi auraient supposé que le recourant s’en plaigne formellement auprès de la direction de l’établissement carcéral, notamment pour que celle-ci prenne les mesures idoines pour faire cesser les prétendus traitements inhumains. Le fait que le recourant se soit abstenu de se plaindre des défauts que présentait selon lui ses cellules (autres que ceux qui découlent du régime carcéral lui-même) pendant la durée de détention en cause permet de déduire que ceux-ci n’étaient pas considérés comme des défauts par l’intéressé lui-même ou, en tout cas, qu’ils ne revêtaient pas la gravité exigée par la jurisprudence. Au surplus, cette abstention rend impossible une constatation a posteriori de certains</w:t>
      </w:r>
    </w:p>
    <w:p>
      <w:r>
        <w:t>- 13 - desdits défauts, respectivement une appréciation des conditions matérielles concrètes de détention, qui exige un examen se fondant sur des critiques précises (cf. TF 1B_330/2020 précité consid. 4.4; CREP 12 janvier 2021/21 consid. 2.2). On ne saurait donc considérer que la détention de X.________ se serait accompagnée de circonstances aggravantes suffisamment établies et qui auraient rendu cette détention plus pénible. En définitive, c’est donc à juste titre que le Tribunal des mesures de contrainte a considéré que la détention de X.________ à la Prison du Bois-Mermet entre le 2 septembre 2019 et le 16 octobre 2020 s’était déroulée dans des conditions licites. 3. Au vu de ce qui précède, le recours doit être rejeté et l'ordonnance du 14 janvier 2021 confirmée. Les frais de la procédure de recours, constitués de l’émolument d’arrêt, par 1'320 fr. (art. 20 al. 1 TFIP [Tarif des frais de procédure et indemnités en matière pénale du 28 septembre 2010; BLV 312.03.1]), ainsi que des frais imputables à la défense d’office (art. 422 al. 1 et 2 let. a CPP), fixés à 360 fr. sur la base d’une durée d’activité nécessaire d’avocat estimée à deux heures au tarif horaire de 180 fr., auxquels il convient d’ajouter des débours forfaitaires à concurrence de 2 % (art. 2 al. 1 let. a et 3bis al. 1 RAJ [Règlement sur l'assistance judiciaire en matière civile du 7 décembre 2010; BLV 211.02.3], applicables par renvoi de l’art. 26b TFIP), par 7 fr. 20, plus la TVA par 28 fr. 30, soit à 395 fr. 50 au total, arrondis à 396 fr., seront mis à la charge du recourant, qui succombe (art. 428 al. 1 CPP). Le remboursement à l'Etat de l'indemnité allouée au défenseur d'office du recourant ne sera exigible que pour autant que la situation financière de ce dernier le permette (art. 135 al. 4 CPP).</w:t>
      </w:r>
    </w:p>
    <w:p>
      <w:r>
        <w:t>- 14 - Par ces motifs, la Chambre des recours pénale prononce : I. Le recours est rejeté. II. L’ordonnance du 14 janvier 2021 est confirmée. III. L’indemnité allouée au défenseur d’office de X.________ est fixée à 396 fr. (trois cent nonante six francs). IV. Les frais du présent arrêt, par 1’320 fr. (mille trois cent vingt francs), ainsi que l’indemnité due au défenseur d’office de X.________ par 396 fr. (trois cent nonante six francs),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Gilles Miauton, avocat (pour X.________), - Ministère public central, et communiqué à : - M. le Juge d’application des peines, - Mme la Procureure cantonale Strada, - Office d’exécution des peines,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