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PC20.019702 vom 11. Januar 2021</w:t>
      </w:r>
    </w:p>
    <w:p>
      <w:r>
        <w:t>VD Tribunal cantonal, 2021-01-11, FR</w:t>
      </w:r>
    </w:p>
    <w:p>
      <w:r>
        <w:rPr>
          <w:b/>
        </w:rPr>
        <w:t xml:space="preserve">Quelle: </w:t>
      </w:r>
      <w:r>
        <w:t>https://mcp.opencaselaw.ch/entscheid/vd_gerichte_PC20.019702</w:t>
      </w:r>
    </w:p>
    <w:p>
      <w:r>
        <w:t>FR: VD_GERICHTE PC20.019702 du 11 janvier 2021</w:t>
      </w:r>
    </w:p>
    <w:p>
      <w:r>
        <w:t>IT: VD_GERICHTE PC20.019702 del 11 gennaio 2021</w:t>
      </w:r>
    </w:p>
    <w:p>
      <w:pPr>
        <w:pStyle w:val="Heading2"/>
      </w:pPr>
      <w:r>
        <w:t>Volltext</w:t>
      </w:r>
    </w:p>
    <w:p>
      <w:r>
        <w:t>TRIBUNAL CANTONAL 27 PC20.019702-SDE CHAMBRE DE S RECO URS PEN ALE __________________________________________ Arrêt du 11 janvier 2021 __________________ Composition : M. PERROT, président MM. Meylan et Kaltenrieder, juges Greffier : M. Valentino ***** Art. 3 CEDH Statuant sur le recours interjeté le 10 décembre 2020 par R.________ contre l’ordonnance rendue le 1er décembre 2020 par le Tribunal des mesures de contrainte dans la cause n° PC20.019702-SDE, la Chambre des recours pénale considère : En fait : A. R.________ est détenu à la Prison du Bois-Mermet depuis le 2 mars 2020. 351</w:t>
      </w:r>
    </w:p>
    <w:p>
      <w:r>
        <w:t>- 2 - B. a) Le 11 novembre 2020, R.________, par son défenseur d’office, a saisi le Tribunal des mesures de contrainte d’une demande tendant à ce que soit constaté le caractère illicite de ses conditions de détention. b) Le 16 novembre 2020, la Direction de la Prison du Bois- Mermet a établi, à la demande du Tribunal des mesures de contrainte, un rapport portant sur les différents griefs soulevés par R.________ (P. 6). Il en ressort notamment que, depuis son arrivée dans cet établissement carcéral, celui-ci a occupé quatre cellules « doubles » (deux personnes) différentes, qu’il a partagées avec un codétenu, à savoir la cellule n° 348 (du 3 au 25 mars 2020), la cellule n° 344 (du 25 mars au 18 mai 2020), la cellule n° 357 (du 18 au 20 mai 2020), la cellule n° 355 (du 20 mai au 3 octobre 2020), et enfin de nouveau la cellule n° 357 (depuis le 3 octobre 2020), étant précisé que dans toutes ces cellules, les sanitaires sont séparés par un rideau ignifuge. Il ressort des croquis produits, avec les mesures des quatre cellules susmentionnées, que celles-ci ont une surface brute de respectivement 10,1 m2 pour les cellules doubles nos 344 et 357 et 12,4 m2 pour les cellules double nos 348 et 355. La surface nette des mêmes cellules, intégrant le mobilier et la surface des sanitaires (correspondant à l'habitabilité effective), est quant à elle de 9,41 m2 pour la cellule n° 344, 12,06 m2 pour la cellule n° 348, 11,59 m2 pour la cellule n° 355 et 9,47 m2 pour la cellule n° 357. Selon le rapport précité, depuis le 25 septembre 2020, R.________ est employé à l’atelier bibliothèque à 50%, à raison de 2 jours de travail pendant six semaines puis 3 jours de travail pendant les 6 semaines suivantes. Il y travaille en alternance avec son codétenu de cellule, selon les horaires suivants : de 08h00 à 11h30, puis de 14h00 à 16h30. Il a également droit à 1 heure de promenade journalière, ainsi qu’à trois séries de sport par semaine d’une durée de 45 minutes. A cela s’ajoutent les rencontres avec la Fondation vaudoise de probation, les visites et les téléphones.</w:t>
      </w:r>
    </w:p>
    <w:p>
      <w:r>
        <w:t>- 3 - Dans ses déterminations du 23 novembre 2020, R.________, par son défenseur d’office, a confirmé les conclusions prises dans sa requête du 11 novembre 2020. c) Par ordonnance du 1er décembre 2020, le Tribunal des mesures de contrainte a constaté que les conditions dans lesquelles se déroulait la détention de R.________, à compter du 2 mars 2020, à la Prison du Bois-Mermet, étaient licites (I) et a mis les frais de la cause, par 375 fr., à la charge du prénommé (II). Cette autorité a considéré, sur la base des renseignements fournis par l’établissement pénitentiaire, que R.________ avait bénéficié d’un espace individuel de 5,28 m2 dans la cellule n° 348 et de 5,04 m2 dans la cellule n° 355, ce qui respectait le standard minimum de 4 m2. Partant, le grief fondé sur la surface à disposition s’agissant des périodes comprises entre le 3 et le 25 mars 2020 puis entre le 20 mai et le 3 octobre 2020 devait être rejeté. Il a ensuite été constaté que l’espace à disposition du prénommé dans les cellules nos 344 et 357 était insuffisant puisqu’il était respectivement de 3,95 m2 et de 3,98 m2. Toutefois, l’intéressé avait pu intégrer l’atelier bibliothèque à 50% dès le 25 septembre 2020, en alternance avec son codétenu. Il avait donc passé entre 12h et 18h par semaine au travail. Venaient encore s’ajouter à cela une heure de promenade quotidienne et trois séances de sport hebdomadaires de 45 minutes. Le fait de passer autant d’heures à l’extérieur ou seul dans une cellule double réduisait de manière significative le confinement. Pour le surplus, l’absence de cloison pour les sanitaires, le confinement en cellule et les problèmes notoirement connus liés à l’isolation, le chauffage et l’aération, étaient à eux seuls des circonstances insuffisantes pour fonder un constat d’illicéité au vu des éléments liés à la durée de l’incarcération et à l’espace disponible, qui apparaissaient largement prépondérants par rapport aux autres circonstances invoquées par le détenu. Il y avait en outre lieu de relever que l’intéressé se limitait à fournir une liste standard</w:t>
      </w:r>
    </w:p>
    <w:p>
      <w:r>
        <w:t>- 4 - d’inconvénients potentiels présentés par sa cellule, sans aucune précision particulière (durée, date, intensité de la circonstance alléguée). Rien n’indiquait non plus que le prénommé se serait plaint auprès de la direction de la prison des circonstances qu’il alléguait, ce qui ne les rendait pas suffisamment graves au vu de la jurisprudence de la Chambre des recours pénale. Les conditions de détention de R.________ depuis le 2 mars 2020, bien que difficiles, étaient donc licites. C. Par acte du 10 décembre 2020, R.________ a recouru contre cette ordonnance, en concluant, avec suite de frais et dépens, à sa réforme en ce sens qu’il soit constaté que ses conditions de détention subies depuis le 2 mars 2020 étaient illicites et à ce qu’il lui soit donné réserve « pour agir devant l’autorité judiciaire civile compétente selon le droit cantonal régissant la responsabilité de l’Etat ». Subsidiairement, il a conclu à l’annulation de l’ordonnance attaquée et au renvoi de la cause à l’autorité de première instance pour nouvelle décision, « éventuellement dans le sens des considérants de l’arrêt cantonal à rendre ». Il n’a pas été ordonné d’échange d’écritures. En d roit : 1. 1.1 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w:t>
      </w:r>
    </w:p>
    <w:p>
      <w:r>
        <w:t>- 5 -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1.2 En l'espèce, interjeté en temps utile auprès de l'autorité compétente, par une partie ayant qualité pour recourir (art. 382 al. 1 CPP), et dans les formes prescrites (art. 385 al. 1 CPP), le recours est recevable. En particulier, dès lors que la Chambre de céans dispose d’un plein pouvoir d’examen en fait et en droit (art. 393 al. 2 CPP), elle peut examiner si les conditions de détention constatées par le Tribunal des mesures de contrainte sont encore actuelles (TF 1B_377/2020 du 2 décembre 2020 consid. 2.3). 2. Le recourant soutient en résumé avoir subi une détention de longue durée dans des cellules (nos 344 et 357) n’offrant pas une surface individuelle suffisante, soit inférieure à 4 m2. Il soutient que la surface de l’ameublement des cellules devrait être déduite et invoque l’absence de cloison entre les sanitaires et le reste de la cellule, le défaut d’isolation du bâtiment, de sorte qu’il ferait trop chaud en été et trop froid en hiver, ainsi que la réduction des activités et des visites depuis le début de la crise sanitaire due au Covid-19. 2.1 2.1.1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w:t>
      </w:r>
    </w:p>
    <w:p>
      <w:r>
        <w:t>- 6 -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w:t>
      </w:r>
    </w:p>
    <w:p>
      <w:r>
        <w:t>- 7 -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 2.1.3 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w:t>
      </w:r>
    </w:p>
    <w:p>
      <w:r>
        <w:t>- 8 -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TF 6B_1205/2018 du 22 février 2019 consid. 2.1; TF 1B_325/2017 du 14 novembre 2017 consid. 3.3; TF 6B_1244/2016 du 31 octobre 2017 consid. 2.1; TF 6B_688/2015 du 19 mai 2016 consid. 7.2). 2.1.4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w:t>
      </w:r>
    </w:p>
    <w:p>
      <w:r>
        <w:t>- 9 -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 violation de l’art. 3 CEDH (cf. arrêt Mursic contre Croatie précité §140;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 ce d'autant lorsque les codétenus partageant la cellule étaient aussi absents quotidiennement pendant plusieurs heures, à des moments différents ; le Tribunal fédéral a encore estimé que le fait de passer durant 201 jours 5 heures par jour en moyenne hors de la cellule, réduisait également de manière significative le confinement en cellule et permettait de considérer que la détention dans de telles conditions ne</w:t>
      </w:r>
    </w:p>
    <w:p>
      <w:r>
        <w:t>- 10 - constituait pas un traitement dégradant portant atteinte à la dignité humaine (TF 1B_377/2020 du 2 décembre 2020 consid. 2.1.2; TF 1B_394/2016 du 25 avril 2017 consid. 2.4; TF 6B_1085/2016 du 28 août 2017 consid. 3.2). 2.1.5 S'agissant de la prison vaudoise du Bois-Mermet, le Tribunal fédéral a récemment confirmé que, lors du calcul de la surface individuelle à disposition de chaque détenu, la surface des installations sanitaires se trouvant dans la cellule devait être retranchée à raison de 1,5 m2 (TF 1B_330/2020 précité consid. 4.3). 2.2 En l’espèce, R.________ ne conteste pas les surfaces brutes retenues par le Tribunal des mesures de contrainte, mais uniquement les surfaces nettes. Tout d’abord, il ressort de ses calculs qu’il invoque une déduction de 2 m2 pour la surface des sanitaires et affirme que l'espace occupé par le mobilier (lits superposés, table, armoire, etc.) devrait être déduit de la surface de la cellule. Contrairement à ce que soutient le recourant, il n'y a pas lieu de retrancher la surface du mobilier lors du calcul de l'espace individuel à disposition du détenu (cf. récemment TF 1B_330/2020 précité consid. 4.3, se référant aux arrêts de la CourEDH). S'agissant des installations sanitaires, la déduction forfaitaire de 1,5 m2 retenue par l'instance précédente a été arrêtée conformément à la jurisprudence en la matière, de sorte qu’elle peut être admise (cf. supra consid. 2.1.5), le recourant n’invoquant aucun élément particulier justifiant de retenir une déduction de 2 m2. Cela étant, même si l'on avait dû déduire la surface de 2 m2 pour les installations sanitaires, comme le soutient le recourant, la surface individuelle disponible serait encore supérieure à 4 m2 pour les cellules nos 348 ([12,06 - 2] : 2 = 5,03 m2) et 355 ([11,59 - 2] : 2 = 4,79 m2) et légèrement inférieure à ce chiffre pour les autres cellules ([9,46 - 2] : 2 = 3,73 m2 pour la cellule n° 357 et [9,4 - 2] : 2 = 3,7 m2 pour la cellule n° 344).</w:t>
      </w:r>
    </w:p>
    <w:p>
      <w:r>
        <w:t>- 11 - Il y a donc lieu de retenir que R.________ a bénéficié d’une surface individuelle nette de 5,28 m2 dans la cellule n° 348, de 3,95 m2 dans la cellule n° 344, de 3,98 m2 dans la cellule n° 357 et de 5,04 m2 dans la cellule n° 355. L’intéressé a ainsi été détenu du 3 au 25 mars 2020, soit durant 22 jours, dans une cellule double dans laquelle il a bénéficié d’un espace individuel largement supérieur à 4 m2, puis, du 25 mars au 18 mai 2020, soit durant 55 jours, dans une cellule double dans laquelle il a bénéficié d’un espace individuel compris entre 3 et 4 m2, puis pendant 3 jours dans une cellule double dans laquelle il a bénéficié à nouveau d’un espace compris entre 3 et 4 m2 et du 20 mai au 3 octobre 2020, soit durant 136 jours, dans une cellule double offrant un espace individuel supérieur à 4 m2. Enfin, depuis le 3 octobre 2020, il a occupé à nouveau la cellule double n° 357, correspondant à 58 jours jusqu’à la date de l’ordonnance querellée (1er décembre 2020). Des constatations qui précèdent, il y a lieu de retenir que le recourant n’a pas passé plus de trois mois consécutifs dans une cellule dans laquelle la surface était inférieure à 4 m2, mais respectivement 58 jours (55 + 3) du 25 mars au 20 mai 2020, puis à nouveau 58 jours du 3 octobre au 1er décembre 2020, sans compter que les cellules nos 344 et 357 occupées pendant ces deux périodes sont extrêmement proches de cette surface, étant respectivement de 3,95 m2 et 3,98 m2. Par ailleurs, on ne peut pas supputer, comme le fait le recourant, le temps qu’il passera à l’avenir en détention et encore moins dans quelle cellule. A supposer que le recourant occupe actuellement encore la cellule n° 357, la période de détention aura duré, au jour de la reddition du présent arrêt, un peu plus de 3 mois consécutifs dans une cellule légèrement inférieure au standard minimal de 4 m2 en terme de surface, respectivement de 4 mois au jour de la notification du présent arrêt. Or, il y a lieu de relever que le recourant, dès le 25 septembre 2020, soit avant son transfert dans ladite cellule, a intégré l’atelier bibliothèque à 50% (soit 2 jours de travail pendant 6 semaines, puis 3 jours de travail pendant les 6 semaines suivantes) et qu’il a œuvré en alternance avec son codétenu de cellule de 8h00 à 11h30, puis de 14h00 à 16h30 (cf. P. 6). Il a également bénéficié, pendant cette période, d’une heure de promenade par jour et de trois</w:t>
      </w:r>
    </w:p>
    <w:p>
      <w:r>
        <w:t>- 12 - séries de sport par semaine d’une durée de 45 minutes (respectivement quatre séances d’une heure de sport par semaine avant le 25 septembre 2020, applicables aux détenus sans occupation professionnelle). Il est donc erroné de soutenir que le recourant a passé 103 jours (en réalité 116 si l’on tient compte de la période jusqu’au 1er décembre 2020) dans des conditions difficiles car dans des cellules de moins de 4 m2. D’abord ce temps n’était, comme on l’a vu, pas consécutif, et, ensuite, dès le 25 septembre 2020, il a travaillé à l’extérieur à l’atelier bibliothèque et a bénéficié notamment de diverses activités, dont sportives. Le recourant retient ainsi que le confinement en cellule s’élèverait encore en moyenne à 20h10 par jour, respectivement 21h par jour une semaine sur deux, ce qui serait excessif. Il ne prend toutefois pas en compte les activités socio-éducatives, les rencontres avec la Fondation vaudoise de probation, les visites et les téléphones, dont il est difficile d’évaluer le temps consacré (cf. P. 6). Il faut plutôt retenir que le recourant passait en moyenne la moitié de la semaine, hors week-end, à l’extérieur de sa cellule. Le recourant passe également sous silence que depuis le 25 septembre 2020, il a bénéficié en alternance (lorsque son codétenu travaillait) de la cellule double de 7.97 m2 nets pour lui seul, ce qui allège les conditions de sa détention (cf. TF 1B_377/2020 précité consid. 2.2). On est loin des conditions particulièrement difficiles au sens de la jurisprudence précitée (cf. consid. 2.1.3 et 2.1.4 supra). Par ailleurs, s’il est vrai que les sanitaires des cellules de la Prison du Bois-Mermet sont séparés par un rideau ignifuge et que l’isolation du bâtiment est ancienne, cela ne suffit pas en l’espèce, au regard de l’ensemble de ce qui vient d’être souligné ci-dessus, à considérer que le recourant est détenu dans des conditions illicites. On relèvera encore que le recourant est mal venu de se plaindre d’une réduction des activités et visites durant la période de crise sanitaire due au Covid-19, alors que l’établissement carcéral – qui est tenu d’assurer la santé et le bien-être des détenus de manière adéquate – a pris les mesures qu’imposaient la gestion de cette situation précisément</w:t>
      </w:r>
    </w:p>
    <w:p>
      <w:r>
        <w:t>- 13 - dans ce but, tout en mettant en place des mesures de substitution adéquates, et il convient de ne pas oublier que durant ces périodes, des mesures de restriction se sont également imposées aux personnes en liberté. Enfin, contrairement à ce que soutient le recourant, le Tribunal des mesures de contrainte n’a pas subordonné la constatation des conditions illicites de sa détention au dépôt d’une réclamation auprès de la direction du Bois-Mermet, mais a rappelé la jurisprudence selon laquelle on pouvait inférer qu’en l’absence de griefs détaillés en temps utile, ceux- ci ne revêtaient pas la gravité exigée (cf. CREP 22 octobre 2020/825 consid. 2.3). Pour le surplus, le fait que le recourant se soit abstenu de se plaindre des défauts que présentait selon lui ses cellules (autres que ceux qui découlent du régime carcéral lui-même) pendant la durée de détention en cause permet de déduire que ceux-ci n’étaient pas considérés comme des défauts par l’intéressé lui-même ou, en tout cas, qu’ils ne revêtaient pas la gravité exigée par la jurisprudence. Au surplus, cette abstention rend impossible une constatation a posteriori de certains desdits défauts, respectivement une appréciation des conditions matérielles concrètes de détention, qui exige un examen se fondant sur des critiques précises (cf. TF 1B_330/2020 précité consid. 4.4). C’est donc à juste titre que le Tribunal des mesures de contrainte a considéré que la détention de R.________ à la Prison du Bois- Mermet depuis le 2 mars 2020 s’était déroulée dans des conditions licites, étant précisé qu’il n’est pas contesté que ces conditions ont perduré durant la procédure de recours. 3. Au vu de ce qui précède, le recours, manifestement mal fondé, doit être rejeté sans échange d'écritures (art. 390 al. 2 CPP) et l'ordonnance du 1er décembre 2020 confirmée.</w:t>
      </w:r>
    </w:p>
    <w:p>
      <w:r>
        <w:t>- 14 - Le défenseur d'office du recourant a produit une liste d'opérations (P. 8/2/7) faisant état d’un montant total de 644 fr. 80, TVA et débours compris, arrondi à 645 fr., dont il n'y a pas lieu de s'écarter. Les frais de la procédure de recours, constitués en l'espèce de l’émolument d'arrêt, par 1'430 fr. (art. 422 al. 1 CPP et 20 al. 2 TFIP [tarif des frais de procédure et indemnités en matière pénale du 28 septembre 2010; BLV 312.03.1]), et de l’indemnité d’office, seront mis à la charge de R.________,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L’ordonnance du 1er décembre 2020 est confirmée. III. L’indemnité allouée au défenseur d’office de R.________ est fixée à 645 fr. (six cent quarante-cinq francs). IV. Les frais d’arrêt, par 1'430 fr. (mille quatre cent trente francs), ainsi que l’indemnité due au défenseur d’office de R.________, par 645 fr. (six cent quarante-cinq francs), sont mis à la charge de ce dernier. V. Le remboursement à l’Etat de l’indemnité allouée au chiffre III ci-dessus ne sera exigible que pour autant que la situation financière de R.________ le permette. VI. L’arrêt est exécutoire.</w:t>
      </w:r>
    </w:p>
    <w:p>
      <w:r>
        <w:t>- 15 - Le président : Le greffier : Du Le présent arrêt, dont la rédaction a été approuvée à huis clos, est notifié, par l'envoi d'une copie complète, à : - Me Samuel Pahud, avocat (pour R.________), - Ministère public central, et communiqué à : - Mme la Présidente du Tribunal des mesures de contrainte, - M. le Procureur de l’arrondissement de La Côte, - Direction de la Prison du Bois-Mermet, - Office d'exécution des peines,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