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PC20.017071 vom 12. Januar 2021</w:t>
      </w:r>
    </w:p>
    <w:p>
      <w:r>
        <w:t>VD Tribunal cantonal, 2021-01-12, FR</w:t>
      </w:r>
    </w:p>
    <w:p>
      <w:r>
        <w:rPr>
          <w:b/>
        </w:rPr>
        <w:t xml:space="preserve">Quelle: </w:t>
      </w:r>
      <w:r>
        <w:t>https://mcp.opencaselaw.ch/entscheid/vd_gerichte_PC20.017071</w:t>
      </w:r>
    </w:p>
    <w:p>
      <w:r>
        <w:t>FR: VD_GERICHTE PC20.017071 du 12 janvier 2021</w:t>
      </w:r>
    </w:p>
    <w:p>
      <w:r>
        <w:t>IT: VD_GERICHTE PC20.017071 del 12 gennaio 2021</w:t>
      </w:r>
    </w:p>
    <w:p>
      <w:pPr>
        <w:pStyle w:val="Heading2"/>
      </w:pPr>
      <w:r>
        <w:t>Erwägungen</w:t>
      </w:r>
    </w:p>
    <w:p>
      <w:r>
        <w:rPr>
          <w:b/>
        </w:rPr>
        <w:t>E. 21</w:t>
      </w:r>
    </w:p>
    <w:p>
      <w:r>
        <w:t>octobre 2019 jusqu’au jour du jugement à intervenir étaient illicites et qu’il y avait lieu à réparation « sous la forme d’une déduction de la peine à intervenir de la totalité de la détention provisoire subie au jour du jugement, augmentée de la moitié du temps de détention provisoire subie dans des conditions illicites ». Subsidiairement, il a conclu qu’il soit constaté qu’il y avait lieu à réparation et à l’allocation d’une indemnité en sa faveur, soit une indemnité d’un montant journalier de 100 fr. pour chaque jour passé dans des conditions illicites à la Prison du Bois-Mermet. Plus subsidiairement, il a conclu à l’annulation de l’ordonnance attaquée et au renvoi de la cause à l’autorité de première instance pour nouvelle instruction et nouvelle décision dans le sens des considérants. Il n’a pas été ordonné d’échange d’écritures. En d roit : 1. Selon l’art. 393 al. 1 let. c CPP (Code de procédure pénale suisse du 5 octobre 2007 ;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w:t>
      </w:r>
    </w:p>
    <w:p>
      <w:r>
        <w:t>- 7 - (ATF 140 I 125 consid. 2.1; TF 1B_39/2013 du 14 février 2013 consid. 3.3; JdT 2013 III 86).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septembre 1979; BLV 173.01]). 1.2 En l'espèce, interjeté en temps utile auprès de l'autorité compétente, par le Ministère public qui a qualité pour recourir (art. 381 al. 1 CPP), et dans les formes prescrites (art. 385 al. 1 CPP), le recours est recevable. En particulier, dès lors que la Cour de céans dispose d’un plein pouvoir d’examen en fait et en droit (art. 393 al. 2 CPP), elle peut examiner si les conditions de détention constatées par le Tribunal des mesures de contrainte sont encore actuelles (TF 1B_377/2020 du 2 décembre 2020 consid. 2.3). Elle ne saurait en revanche statuer sur une éventuelle réparation, faute de compétence; les conclusions en ce sens (III, IV et V) sont irrecevables. 2. Le recourant soutient en résumé avoir subi une détention de longue durée dans des cellules n’offrant pas une surface individuelle suffisante – y compris dans la cellule no 236 –, soit inférieure à 4 m2, voire inférieure à 3 m2 en déduisant encore la surface du mobilier, ce qui suffirait selon lui à justifier un constat d’illicéité au vu de la jurisprudence cantonale et fédérale. Il fait sa propre lecture de la jurisprudence en question, soutient que la surface de l’ameublement des cellules devrait être déduite, invoque l’absence de cloison entre les sanitaires et le reste de la cellule, se prévaut de températures excessives en été 2020 et d’un défaut d’aération des cellules, d’un défaut de lumière à l’intérieur de celles-ci qui impliquerait que les détenus devraient utiliser des lampes</w:t>
      </w:r>
    </w:p>
    <w:p>
      <w:r>
        <w:t>- 8 - d’appoint, ainsi que de la réduction des activités et des visites depuis mars 2020. 2.1 2.1.1 Au niveau conventionnel, l'art. 3 CEDH (Convention de sauvegarde des droits de l’homme et des libertés fondamentales du 4 novembre 1950; RS 0.101), prévoit que nul ne peut être soumis à la torture ni à des peines ou traitements inhumains ou dégradants. Sur le plan constitutionnel, l'art. 7 Cst. (Constitution fédérale de la Confédération suisse du 18 avril 1999; RS 101) prescrit de son côté que la dignité humaine doit être respectée et protégée. A teneur de l'art. 10 al. 3 Cst., la torture et tout autre traitement ou peine cruels, inhumains ou dégradants sont interdits. Au niveau législatif, l'art. 3 al. 1 CPP (Code de procédure pénale suisse du 5 octobre 2007; RS 312.0) rappelle le principe du respect de la dignité humaine. L'art. 235 CPP régit l'exécution de la détention;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 (Règlement sur le statut des personnes détenues placées en établissement de détention avant jugement du 28 novembre 2018; BLV 340.02.5) ne contient aucune disposition précise concernant l'aménagement, l'équipement, la dimension des cellules ou la surface dont doit bénéficier chaque détenu à l'intérieur de celles-ci. 2.1.2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w:t>
      </w:r>
    </w:p>
    <w:p>
      <w:r>
        <w:t>- 9 - 2006,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141 I 141 consid. 6.3.3; ATF 140 I 125 consid. 3.2; ATF 139 IV 41 consid. 3.2; ATF 123 I 112 consid. 4d/cc). Pour le Tribunal fédéral, même si les mesures privatives de liberté s’accompagnent inévitablement de souffrances et d’humiliation, cela n’emporte pas en soi une violation de l’art. 3 CEDH. Pour enfreindre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à une détresse ou à une épreuve d’une intensité qui excède le niveau inévitable de souffrance inhérent à une telle mesure et que, eu égard aux exigences pratiques de l’emprisonnement, sa santé et son bien-être sont assurés de manière adéquate (ATF 141 I 141 consid. 6.3.4). Le Tribunal fédéral a insisté sur l’appréciation globale de toutes les conditions concrètes de détention (ATF 141 I 141 précité; ATF 123 I 221 consid. II/1c/cc). En ce qui concerne la violation de l’art. 3 CEDH, il a relevé que le traitement dénoncé devait atteindre un minimum de gravité : l’appréciation de ce minimum dépend de l’ensemble des données de la cause et notamment de la nature et du contexte du traitement ainsi que de sa durée (ATF 139 I 272 consid. 4). Cette durée est en effet susceptible de rendre incompatible avec la dignité humaine une situation qui ne le</w:t>
      </w:r>
    </w:p>
    <w:p>
      <w:r>
        <w:t>- 10 - serait pas nécessairement sur une courte période (ATF 141 I 141 précité; ATF 140 I 125 consid. 3.3). 2.1.3 S’agissant plus précisément de la situation de la prison genevoise de Champ-Dollon, le Tribunal fédéral a jugé qu'en cas de surpopulation carcérale, l'occupation d'une cellule dite individuelle par trois détenus – chacun disposant d'un espace individuel de 4 m2, restreint du mobilier, – était une condition de détention difficile; elle n'était cependant pas constitutive d'une violation de l'art. 3 CEDH et ne représentait pas un traitement dégradant portant atteinte à la dignité humaine des prévenus (ATF 140 I 125 consid. 3.6.3).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consid. 3.6.3; TF 6B_1205/2018 du 22 février 2019 consid. 2.1; TF 1B_325/2017 du 14 novembre 2017 consid. 3.3; TF 6B_1244/2016 du 31 octobre 2017 consid. 2.1; TF 6B_688/2015 du 19 mai 2016 consid. 7.2). 2.1.4 Depuis lors, le Tribunal fédéral – s'inspirant également de la jurisprudence de la Cour européenne des droits de l'homme (cf. arrêts cités à l'ATF 140 I 125 consid. 3.4; TF 1B_325/2017 précité consid. 3.3) – s'en est tenu au critère de la surface individuelle inférieure à 4 m2 (TF 1B_325/2017 précité;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w:t>
      </w:r>
    </w:p>
    <w:p>
      <w:r>
        <w:t>- 11 -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TF 1B_325/2017 précité; TF 6B_456/2015 du 21 mars 2016 consid. 2.1). En principe, si la surface disponible dépasse 4 m2, les conditions de détention ne sont pas illicites ; cela n’exclut toutefois pas que l’autorité doive examiner d’autres aspects matériels des conditions de détention, si le détenu s’en plaint, car ceux-ci peuvent, eux, être constitutifs d’une</w:t>
      </w:r>
    </w:p>
    <w:p>
      <w:r>
        <w:t>- 12 - violation de l’art. 3 CEDH (cf. arrêt Mursic contre Croatie précité §140; TF 1B_330/2020 consid. 4.4). Dans l’appréciation globale de toutes les conditions concrètes de détention, il faut prendre en compte la durée que le détenu est autorisé à passer hors de sa cellule; à cet égard,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le Tribunal fédéral a encore estimé que le fait de passer durant 201 jours 5 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1B_377/2020 du 2 décembre 2020 consid. 2.1.2; TF 1B_394/2016 du 25 avril 2017 consid. 2.4; TF 6B_1085/2016 du 28 août 2017 consid. 3.2). 2.1.5 S'agissant de la prison vaudoise du Bois-Mermet, le Tribunal fédéral a précisé que, lors du calcul de la surface individuelle à disposition de chaque détenu, la surface des installations sanitaires se trouvant dans la cellule devait être retranchée (TF 1B_325/2017 précité; TF 1B_70/2016 du 24 juin 2016 consid. 3.4), à raison de 1,5 m2 (CREP 5 septembre 2019/728, consid. 2.2.1; CREP 15 août 2019/654 consid. 2.2). 2.2 En l’espèce, on relèvera en premier lieu que c’est à tort que le recourant soutient que la jurisprudence du Tribunal fédéral serait indécise s’agissant de déduire la surface occupée par le mobilier dans les cellules, alors que, de jurisprudence constante (cf. récemment TF 1B_330/2020 du 2 décembre 2020 consid. 4.3, se référant aux arrêts de la CourEDH), il n’y a pas lieu de tenir compte desdites surfaces. En outre, le recourant ne</w:t>
      </w:r>
    </w:p>
    <w:p>
      <w:r>
        <w:t>- 13 - saurait soutenir que les murs encadrant la porte des cellules auraient une épaisseur de 50 cm, puisqu’il y a uniquement lieu de tenir compte du débordement du mur à l’intérieur de la cellule et non de son épaisseur totale. Il s’ensuit par conséquent que les surfaces telles que calculées par le Tribunal des mesures de contrainte – tenant compte pour le surplus de la déduction usuelle de 1,5 m2 pour la surface dédiée aux sanitaires – sont correctes. Il y a donc lieu de retenir que B.________ a bénéficié d’une surface individuelle nette de 3,92 m2 dans la cellule no 231, de 5,825 m2 dans la cellule no 236 et de 3,825 m2 dans la cellule no 229. L’intéressé a ainsi été détenu du 21 octobre 2019 au 22 novembre 2019, soit durant 33 jours, dans une cellule double dans laquelle il a bénéficié d’un espace individuel compris entre 3 et 4m2, puis, du</w:t>
      </w:r>
    </w:p>
    <w:p>
      <w:r>
        <w:rPr>
          <w:b/>
        </w:rPr>
        <w:t>E. 22</w:t>
      </w:r>
    </w:p>
    <w:p>
      <w:r>
        <w:t>décembre 2020, étant précisé qu’il n’est pas contesté que ces conditions ont perduré durant la procédure de recours. 3. Au vu de ce qui précède, le recours, manifestement mal fondé, doit être rejeté sans échange d'écritures (art. 390 al. 2 CPP), dans la mesure où il est recevable (cf. supra consid. 1.2), et l'ordonnance du 22 décembre 2020 confirmée. La requête du recourant tendant à l’octroi de l’assistance judiciaire pour la procédure de recours – qui est uniquement recevable en tant qu’elle porte sur la désignation d’un défenseur d’office, dès lors que l’assistance judiciaire pour la procédure de recours, comprenant</w:t>
      </w:r>
    </w:p>
    <w:p>
      <w:r>
        <w:t>- 17 - l’exonération des frais de procédure et d’avances de frais, ne peut être accordée qu’à la partie plaignante (cf. art. 136 CPP) et non au prévenu (cf. art. 132 CPP; JdT 2016 III 33; CREP 22 mars 2019/219) – est sans objet, la désignation d’un défenseur d’office par le Tribunal des mesures de contrainte valant également pour la procédure de recours. Les frais de la procédure de recours, constitués de l’émolument d’arrêt, par 1'650 fr. (art. 20 al. 1 TFIP [Tarif des frais de procédure et indemnités en matière pénale du 28 septembre 2010; BLV 312.03.1]), ainsi que des frais imputables à la défense d’office (art. 422 al. 1 et 2 let. a CPP), fixés à 720 fr. sur la base d’une durée d’activité d’avocat estimée à quatre heures au tarif horaire de 180 fr., auxquels il convient d’ajouter des débours forfaitaires à concurrence de 2 % (art. 2 al. 1 let. a et 3bis al. 1 RAJ [Règlement sur l'assistance judiciaire en matière civile du 7 décembre 2010; BLV 211.02.3], applicables par renvoi de l’art. 26b TFIP), par 14 fr. 40, plus la TVA par 56 fr. 55, soit à 790 fr. 95 au total, arrondis à 791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L’ordonnance du 22 décembre 2020 est confirmée. III. L’indemnité allouée au défenseur d’office de B.________ est fixée à 791 fr. (sept cent nonante et un francs). IV. Les frais du présent arrêt, par 1’650 fr. (mille six cent cinquante francs), ainsi que l’indemnité due au défenseur</w:t>
      </w:r>
    </w:p>
    <w:p>
      <w:r>
        <w:t>- 18 - d’office de B.________, par 791 fr. (sept cent nonante et un francs), sont mis à la charge de ce dernier. V. Le remboursement à l’Etat de l’indemnité allouée au chiffre III ci-dessus ne sera exigible que pour autant que la situation financière de B.________ le permette. VI. L’arrêt est exécutoire. Le président : Le greffier Du Le présent arrêt, dont la rédaction a été approuvée à huis clos, est notifié, par l'envoi d'une copie complète, à : - Me Michel Dupuis, avocat (pour B.________), (et par efax) - Ministère public central, (et par efax) et communiqué à : - Mme la Présidente du Tribunal des mesures de contrainte, (et par efax) - Mme la Procureure de l’arrondissement du Nord vaudois, (et par efax) - Tribunal correctionnel de l’arrondissement de la Broye et du Nord vaudois, (et par efax) - Direction de la Prison du Bois-Mermet, (et par efax) par l’envoi de photocopies.</w:t>
      </w:r>
    </w:p>
    <w:p>
      <w:r>
        <w:t>- 19 -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