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PC20.016761 vom 15. Februar 2021</w:t>
      </w:r>
    </w:p>
    <w:p>
      <w:r>
        <w:t>VD Tribunal cantonal, 2021-02-15, FR</w:t>
      </w:r>
    </w:p>
    <w:p>
      <w:r>
        <w:rPr>
          <w:b/>
        </w:rPr>
        <w:t xml:space="preserve">Quelle: </w:t>
      </w:r>
      <w:r>
        <w:t>https://mcp.opencaselaw.ch/entscheid/vd_gerichte_PC20.016761</w:t>
      </w:r>
    </w:p>
    <w:p>
      <w:r>
        <w:t>FR: VD_GERICHTE PC20.016761 du 15 février 2021</w:t>
      </w:r>
    </w:p>
    <w:p>
      <w:r>
        <w:t>IT: VD_GERICHTE PC20.016761 del 15 febbraio 2021</w:t>
      </w:r>
    </w:p>
    <w:p>
      <w:pPr>
        <w:pStyle w:val="Heading2"/>
      </w:pPr>
      <w:r>
        <w:t>Erwägungen</w:t>
      </w:r>
    </w:p>
    <w:p>
      <w:r>
        <w:rPr>
          <w:b/>
        </w:rPr>
        <w:t>E. 10</w:t>
      </w:r>
    </w:p>
    <w:p>
      <w:r>
        <w:t>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 détention (Härri, Basler Kommentar, Schweizerische Strafprozessordnung, 2e éd., 2014, n. 60 ss ad art. 235 CPP). Dans le canton de Vaud, le RSDAJ (Règlement sur le statut des personnes détenues placées en établissement de détention avant jugement du 28 novembre 2018; BLV 340.02.5) ne contient aucune disposition précise concernant l'aménagement, l'équipement, la dimension des cellules ou la surface dont doit bénéficier chaque détenu à l'intérieur de celles-ci. 2.2.2 Pour le domaine spécifique de la détention, la Suisse a ratifié, le 7 octobre 1988, la Convention européenne de 1987 pour la prévention de la torture et des peines ou traitements inhumains ou dégradants (RS 0.106). L'art. 1 de cette Convention institue un « Comité</w:t>
      </w:r>
    </w:p>
    <w:p>
      <w:r>
        <w:t>- 9 -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140 I 125 consid. 3.2; ATF 139 IV 41 consid. 3.2; ATF 123 I 112 consid. 4d/cc). 2.2.3 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elle n'est cependant pas constitutive d'une violation de l'art. 3 CEDH et ne représente pas un traitement dégradant portant atteinte à la dignité humaine des prévenus (ATF 140 I 125 précité).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w:t>
      </w:r>
    </w:p>
    <w:p>
      <w:r>
        <w:t>- 10 - ne pouvaient plus être tolérées (ATF 140 I 125 précité consid. 3.6.3; TF 1B_325/2017 du 14 novembre 2017 consid. 3.3). Depuis lors, le Tribunal fédéral – s'inspirant également de la jurisprudence de la Cour européenne des droits de l'homme (cf. arrêts cités à l'ATF 140 I 125 consid. 3.4; TF 1B_325/2017 précité consid. 3.3) – s'en est tenu au critère de la surface individuelle inférieure à 4 m2 (TF 1B_325/2017 précité;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w:t>
      </w:r>
    </w:p>
    <w:p>
      <w:r>
        <w:t>- 11 -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TF 1B_325/2017 précité; TF 6B_456/2015 du 21 mars 2016 consid. 2.1). En principe, si la surface disponible dépasse 4 m2, les conditions de détention ne sont pas illicites, à moins que d'autres aspects des conditions de détention soient eux constitutifs d'une violation de l'art. 3 CEDH (TF 1B_330/2020 du 2 décembre 2020 consid. 4.4). Dans l’appréciation globale de toutes les conditions concrètes de détention, il faut prendre en compte la durée que le détenu est autorisé à passer hors de sa cellule ;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TF 1B_394/2016 du 25 avril 2017 consid. 2.4; TF 6B_1085/2016 du 28 août 2017 consid. 3.2 ; CREP 25 janvier 2021/65 consid. 2.1.4). 2.2.4 S'agissant de la prison vaudoise du Bois-Mermet, le Tribunal fédéral a précisé que, lors du calcul de la surface individuelle à disposition de chaque détenu, la surface des installations sanitaires se trouvant dans la cellule devait être retranchée (TF 1B_325/2017 précité; TF 1B_70/2016</w:t>
      </w:r>
    </w:p>
    <w:p>
      <w:r>
        <w:t>- 12 - du 24 juin 2016 consid. 3.4), à raison de 1,5 m2 (CREP 5 septembre 2019/728, consid. 2.2.1). 2.3 En l'espèce, il ressort des informations communiquées par la direction de l’établissement carcéral que sur les trois cellules occupées par le recourant, seule l’une d’entre elles, à savoir la cellule no 322, disposait d’une surface individuelle très légèrement inférieure à 4 m2, soit de 3,93 m2. Les deux autres cellules, de respectivement 4,75 m2 et 4,065 m2, respectaient les exigences posées par la jurisprudence rappelée ci-dessus. Certes, le recourant conteste les prises de mesures réalisées par la direction de l’établissement. Cependant, dans son acte de recours, il ne fournit aucune démonstration convaincante qui justifierait de ne pas retenir les mesures métriques mentionnées dans les déterminations fournies à l’autorité judiciaire par le directeur de l’établissement pénitentiaire, dès lors que les calculs pour déterminer la surface totale à disposition tiennent compte de la déduction à apporter en raison de l’épaisseur des murs situés à l’entrée de la cellule (P. 6). Le premier séjour du recourant au sein de la cellule no 322 a duré 60 jours et ne dépasse donc pas la durée de trois mois retenue par le Tribunal fédéral, de sorte que les conditions de détention n’ont pas atteint un niveau d’humiliation ou d’avilissement suffisant pour emporter une violation de l’art. 3 CEDH. En outre, il était précédé d'un séjour d'une durée de 106 jours dans la cellule n° 321 d'une surface individuelle nette de 4,85 m2. Par la suite, le recourant a bénéficié durant 24 jours d’une cellule nettement plus grande, possédant une surface individuelle de 4,75 m2. En ce qui concerne le deuxième séjour dans la cellule n° 322, il faut constater qu’après 45 jours, soit à compter du 22 septembre 2020, le recourant a pu intégrer l’atelier sport à 50 %, ce qui correspond à 2 jours de travail durant 6 semaines, puis 3 jours de travail les 6 suivantes, selon un horaire fixe de 7h45 à 11h30, puis de 13h45 à 16h30. Le recourant a donc parfois occupé la cellule en alternance avec son codétenu. Il a par ailleurs eu droit à une heure de promenade journalière, ainsi qu’à trois séances de sport par semaine d’une durée de 45 minutes chacune. Jusqu’au moment où l’autorité de première instance a statué, le second</w:t>
      </w:r>
    </w:p>
    <w:p>
      <w:r>
        <w:t>- 13 - séjour du recourant dans la cellule no 322 avait duré 87 jours. Ainsi, aucun des deux séjours du recourant au sein de la cellule no 322 n’a dépassé la limite jurisprudentielle de trois mois. Surtout, après 45 jours lors du second séjour, les conditions d’incarcération du recourant se sont améliorées significativement puisqu’il travaillait quotidiennement au sein de l’établissement carcéral et qu’il pouvait parfois disposer de la cellule pour lui seul. Appréciées dans leur ensemble, les conditions de détention du recourant ne sauraient être considérées comme constitutives d’une violation de l’art. 3 CEDH. En outre, le recourant n’indique pas s’être plaint formellement d'autres circonstances auprès de la direction de la prison du Bois-Mermet. Dans son recours, il fait état de certaines circonstances aggravantes (isolation, chauffage, aération), qu’il énonce de manière générale, sans prendre la peine d’apporter les précisions qui permettraient de mesurer concrètement la gravité de l’atteinte qu’il affirme avoir subie, étant rappelé que l’intensité de cette atteinte doit être assimilée à de la torture ou à un traitement cruel ou inhumain, au sens de l’art. 10 al. 3 Cst. et 3 CEDH, pour justifier une réparation. En ne formulant aucune plainte durant sa détention, au moment où l’atteinte est supposée être survenue, le recourant n’a pas permis à la direction de l’établissement carcéral de prendre des mesures pour faire cesser les prétendus traitement inhumains. Cette absence de plainte rend d’autant plus difficile une constatation a posteriori des problèmes de chauffage, d'aération et d'isolation allégués, et amène à considérer que ces circonstances n’ont pas atteint le degré de gravité exigé par la jurisprudence. Quant au fait que les toilettes étaient séparées du reste des cellules en cause par un rideau ignifuge, il s'agit certes d'une circonstance aggravante, mais celle- ci n'est pas suffisante, à elle seule, pour admettre que les conditions de détention du recourant constituaient un traitement dégradant. 2.4 En définitive, c'est à juste titre que les conditions de détention subies par le recourant n'ont pas été jugées illicites par l'autorité de première instance.</w:t>
      </w:r>
    </w:p>
    <w:p>
      <w:r>
        <w:t>- 14 - 3. Au vu de ce qui précède, le recours doit être rejeté et l’ordonnance entreprise confirmée, les autres conclusions prises par le recourant étant devenues sans objet. Les frais de la procédure de recours, constitués en l’espèce de l’émolument d'arrêt, par 1'430 fr. (art. 20 al. 1 TFIP [tarif des frais de procédure et indemnités en matière pénale du 28 septembre 2010; BLV 312.03.1]), et des frais imputables à la défense d’office (art. 422 al. 1 et 2 let. a CPP), fixés à 540 fr. (3 heures d’activité au tarif horaire de 180 fr.), plus des débours forfaitaires à concurrence de 2 % (art. 3bis al. 1 RAJ [règlement sur l’assistance judiciaire en matière civile du 7 décembre 2010; BLV 211.02.3], applicable par renvoi de l’art. 26b TFIP), par 10 fr. 80, plus la TVA, par 42 fr. 40, soit à 593 fr. 20, montant arrondi à 594 fr.,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 novembre 2020 est confirmée. III. L’indemnité allouée au défenseur d’office de O.________ est fixée à 594 fr. (cinq cent nonante-quatre francs). IV. Les frais d’arrêt, par 1'430 fr. (mille quatre cent trente francs), ainsi que l’indemnité due au défenseur d’office de O.________, par 594 fr. (cinq cent nonante-quatre francs), sont mis à la charge de ce dernier. V. Le remboursement à l’Etat de l’indemnité allouée au chiffre III ci-dessus ne sera exigible que pour autant que la situation financière de O.________ le permette.</w:t>
      </w:r>
    </w:p>
    <w:p>
      <w:r>
        <w:t>- 15 - VI. L’arrêt est exécutoire. Le président : La greffière : Du Le présent arrêt, dont la rédaction a été approuvée à huis clos, est notifié, par l'envoi d'une copie complète, à : - Me Michel Dupuis, avocat (pour O.________), - Ministère public central, et communiqué à : - Mme la Procureure cantonale Strada - M. le Président du Tribunal de l’arrondissement de Lausanne - Direction de la prison du Bois-Mermet,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