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PC20.012139 vom 22. Oktober 2020</w:t>
      </w:r>
    </w:p>
    <w:p>
      <w:r>
        <w:t>VD Tribunal cantonal, 2020-10-22, FR</w:t>
      </w:r>
    </w:p>
    <w:p>
      <w:r>
        <w:rPr>
          <w:b/>
        </w:rPr>
        <w:t xml:space="preserve">Quelle: </w:t>
      </w:r>
      <w:r>
        <w:t>https://mcp.opencaselaw.ch/entscheid/vd_gerichte_PC20.012139</w:t>
      </w:r>
    </w:p>
    <w:p>
      <w:r>
        <w:t>FR: VD_GERICHTE PC20.012139 du 22 octobre 2020</w:t>
      </w:r>
    </w:p>
    <w:p>
      <w:r>
        <w:t>IT: VD_GERICHTE PC20.012139 del 22 ottobre 2020</w:t>
      </w:r>
    </w:p>
    <w:p>
      <w:pPr>
        <w:pStyle w:val="Heading2"/>
      </w:pPr>
      <w:r>
        <w:t>Volltext</w:t>
      </w:r>
    </w:p>
    <w:p>
      <w:r>
        <w:t>TRIBUNAL CANTONAL 825 PC20.012139-PAE CHAMBRE DE S RECO URS PEN ALE __________________________________________ Arrêt du 22 octobre 2020 __________________ Composition : Mme B Y R D E , vice-présidente MM. Krieger et de Montvallon, juges Greffier : M. Ritter ***** Art. 3 CEDH, 7 Pacte ONU II, 74 ss CP et 38 LEP Statuant sur le recours interjeté le 15 octobre 2020 par T.________ contre l’ordonnance rendue le 5 octobre 2020 par le Tribunal des mesures de contrainte dans la cause n° PC20.012139-PAE, la Chambre des recours pénale considère : En fait : A. a) Du 1er octobre au 26 novembre 2019 soit durant 57 jours, T.________ a été détenu provisoirement à la Prison du Bois-Mermet. 351</w:t>
      </w:r>
    </w:p>
    <w:p>
      <w:r>
        <w:t>- 2 - b) Par demande du 8 juillet 2020 adressée au Tribunal des mesures de contrainte, le prévenu a requis la constatation des conditions illicites de sa détention à la Prison du Bois-Mermet. c) Par ordonnance du 9 juillet 2020, le Tribunal des mesures de contrainte a refusé d’entrer en matière sur la demande déposée par le prévenu. Le tribunal a considéré qu’il apparaissait que la durée de la détention était inférieure à trois mois, de sorte que, nonobstant la taille de sa cellule et d’éventuelles circonstances aggravant ses conditions de détention, le critère de la durée faisait obstacle à tout constat d’illicéité, les conditions n’étant manifestement pas remplies. B. a) Statuant sur recours du prévenu, la Chambre des recours pénale du Tribunal cantonal a, par arrêt du 5 août 2020 (n° 604), admis le recours, annulé l’ordonnance du 9 juillet 2020 et renvoyé le dossier de la cause au Tribunal des mesures de contrainte pour qu’il procède dans le sens des considérants. La Cour a considéré que, dès lors qu’il était connu du Tribunal des mesures de contrainte, de l’autorité cantonale de recours et du Tribunal fédéral que la Prison du Bois-Mermet contient des cellules dans lesquelles les conditions de détention pouvaient être illicites, cela suffisait pour que les autorités compétentes fussent tenues de procéder à des vérifications en cas d’allégations de détenus selon lesquelles leurs conditions de détention dans cette prison ne répondaient pas aux exigences découlant des normes topiques de rang constitutionnel (cf. consid. 2.2 ci-dessous). Partant, le Tribunal des mesures de contrainte ne pouvait pas refuser d’entrer en matière. b) Statuant en reprise de cause par ordonnance du 5 octobre 2020, le Tribunal des mesures de contrainte a rejeté la demande déposée le 8 juillet 2020 par le prévenu (I), a constaté que les conditions dans lesquelles s’était déroulée sa détention à la Prison du Bois-Mermet du 1er octobre au 26 novembre 2019 étaient conformes aux dispositions légales en la matière et étaient dès lors licites (II), a arrêté à 587 fr. 60, dont 84 fr.</w:t>
      </w:r>
    </w:p>
    <w:p>
      <w:r>
        <w:t>- 3 - 40 de TVA, l’indemnité due à Me Marie-Alice Noël (III), a mis les frais de procédure, par 1'112 fr. 60, comprenant l’indemnité fixée sous chiffre III, à la charge du prévenu (IV) et a dit que ce dernier ne serait tenu de rembourser à l’Etat le montant de son indemnité en faveur de son défenseur d’office arrêtée au chiffre III ci-dessus que lorsque sa situation financière le permettrait (V). Le tribunal a considéré que la Prison du Bois-Mermet ne comportait, selon les informations transmises par la Direction de cet établissement, aucune cellule dont la surface individuelle à disposition était inférieure à 3 m2 après déduction de la surface forfaitaire de 1,5 m2 dédiée aux installations sanitaires. Le tribunal a ajouté que la durée de la détention ici en cause, de 57 jours, était inférieure à trois mois, tout en précisant que ce n’était que si la surface individuelle à disposition, déduction faite du forfait dédié aux sanitaires, était inférieure à 3 m2 que la détention était dans tous les cas illicite nonobstant sa durée. C. Par acte du 15 octobre 2020, T.________ a recouru contre l’ordonnance précitée auprès de la Chambre des recours pénale du Tribunal cantonal en concluant, avec suite de frais et dépens, principalement au constat que les conditions de sa détention provisoire à la Prison du Bois-Mermet du 1er octobre au 26 novembre 2019 étaient illicites. A titre subsidiaire, il a conclu à l’annulation de l’ordonnance attaquée et au renvoi du dossier à l’autorité intimée pour complément d’instruction, en particulier la mise en œuvre d’une inspection locale et la production d’un plan de la cellule, ainsi qu’un rapport détaillé sur les conditions de détention dans sa cellule, « à tout le moins portant sur la surface de la cellule ou des cellules occupées par (le prévenu, réd.), le nombre de codétenus (ainsi que leur [sic] qualité de fumeur de ces derniers), la séparation de l’espace sanitaire, d’éventuels défauts d’aération et d’isolation, la fréquence de l’accès à la douche, la fréquence des sorties hors de la cellule et leur durée effective ». Il n’a pas été ordonné d’échange d’écritures.</w:t>
      </w:r>
    </w:p>
    <w:p>
      <w:r>
        <w:t>- 4 - En d roit : 1. En vertu de l’art. 38 al. 1 LEP (Loi vaudoise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1.2 En l'espèce, interjeté en temps utile auprès de l'autorité compétente, par un ancien détenu qui a la qualité pour recourir (art. 382 al. 1 CPP), et dans les formes prescrites (art. 385 al. 1 CPP), le recours est recevable. 2. 2.1 Le recourant relève que la durée de la détention ne serait qu’un critère parmi d’autres permettant de qualifier les conditions de détention comme étant illicites. Il estime qu’il aurait été détenu dans une cellule dont la surface individuelle à disposition serait inférieure à 3 m2. Il explique avoir toujours partagé sa cellule dans des circonstances qui auraient rendu ses conditions de détention particulièrement inhumaines (cf. ci-dessous), celles-ci étant encore aggravées par le temps moyen passé en cellule, soit près de 22 heures par jour durant la semaine et</w:t>
      </w:r>
    </w:p>
    <w:p>
      <w:r>
        <w:t>- 5 - 23 heures par jour en fin de semaine. Il aurait parfois passé plus de 32 heures consécutives dans sa cellule, sans possibilité ni de sortir, ni de se doucher. Au vu de l’ensemble des circonstances, il faudrait considérer que ses conditions de détention durant 56 jours étaient illicites. Le recourant mentionne les circonstances aggravantes suivantes : « - Partage de la cellule avec un fumeur; - Isolation sanitaire inexistante (absence de cloison qui sépare les sanitaires de la cellule) ainsi que profanation (sic) dans toute la cellule de produits chimiques nocifs pour la santé; - Mauvaise isolation de la cellule qui engendre des bruits importants tels que le cri de certains détenus ou encore des violents claquements de portes et des problèmes de température (trop chaud ou trop froid); - Absence d’accès à la douche pendant 72 heures; - Aération défectueuse; - Lit à étage sans escalier; - Emplacement très élevé de la fenêtre de la cellule; - Plexiglas devant les fenêtres; - Durée en cellule de 22 heures par jour en semaine et 23 heures durant le weekend; - Extrême lenteur pour l’administration de soins médicaux et la transmission de correspondance au service juridique et médical; - Absence de sortie hors de la cellule durant 32 heures consécutives » (recours, pp. 3 s.). 2.2 2.2.1 Lorsqu’un individu affirme de manière défendable avoir subi, aux mains de la police ou d’autres services comparables de l’État, de graves sévices illicites et contraires à l’art. 3 CEDH (Convention de sauvegarde des droits de l’homme et des libertés fondamentales du 4 novembre 1950; RS 0.101), cette dernière disposition, combinée avec le devoir général imposé à l’État par l’art. 1 CEDH de reconnaître à toute personne relevant de sa juridiction les droits et libertés définis dans la Convention, requiert, par implication, qu’il y ait une enquête officielle effective (CourEDH, Mocanu et autres contre Roumanie, 17 septembre 2014, § 317 et les réf., notamment CourEDH Assenov et autres contre Bulgarie, 28 octobre 1998, § 102). Le même droit découle de l’art. 10 al. 3 Cst. (Constitution fédérale de la Confédération suisse du 18 avril 1999; RS 101) (ATF 131 I 455 consid. 2).</w:t>
      </w:r>
    </w:p>
    <w:p>
      <w:r>
        <w:t>- 6 - 2.2.2 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2.2.3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w:t>
      </w:r>
    </w:p>
    <w:p>
      <w:r>
        <w:t>- 7 - autres droits fondamentaux garantis par la Cst. et par la CEDH (ATF 140 I 125 consid. 3.2; ATF 139 IV 41 consid. 3.2; ATF 123 I 112 consid. 4d/cc). 2.2.4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w:t>
      </w:r>
    </w:p>
    <w:p>
      <w:r>
        <w:t>- 8 -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à cet égard pas illicites. S'agissant de la prison vaudoise du Bois-Mermet, le Tribunal fédéral a précisé que, lors du calcul de la surface individuelle à disposition</w:t>
      </w:r>
    </w:p>
    <w:p>
      <w:r>
        <w:t>- 9 - de chaque détenu, la surface des installations sanitaires se trouvant dans la cellule devait être retranchée (TF 1B_325/2017 précité; TF 1B_70/2016 du 24 juin 2016 consid. 3.4), à raison de 1,5 m2 (CREP 5 septembre 2019/728, consid. 2.2.1; CREP 15 août 2019/654 consid. 2.2). 2.3 En l’espèce, rien n’indique que, durant la période de détention, le recourant se soit plaint auprès de la Direction de la Prison du Bois- Mermet d’aucune des circonstances aggravantes qu’il allègue à présent, s’agissant notamment de la température et/ou du défaut d’aération de la cellule; en outre, il fournit une liste – standard – d’inconvénients potentiels présentés par sa cellule, mais n’apporte aucune précision particulière à cet égard (durée, date, intensité de la circonstance alléguée, etc.). Or, dans l’hypothèse où ces circonstances aient été présentes durant la période de détention de 57 jours ici en cause et qu’elles aient revêtu une gravité telle qu’elles soient assimilables à de la torture ou à un traitement cruel ou inhumain, au sens des art. 10 al. 3 Cst. et 3 CEDH, la logique et la bonne foi auraient supposé que le recourant s’en plaigne formellement auprès de la Direction de l’établissement carcéral, notamment pour que celle-ci prenne les mesures idoines pour faire cesser les prétendus traitement inhumains. Le fait que le recourant se soit abstenu de se plaindre des défauts que présentait selon lui sa cellule (autres que ceux qui découlent du régime carcéral lui-même) pendant la durée de détention ici en cause permet de déduire que ceux-ci n’étaient pas considérés comme des défauts par l’intéressé lui-même ou, en tout cas, qu’ils ne revêtaient pas la gravité exigée par la jurisprudence; au surplus, cette abstention rend impossible une constatation a posteriori de certains desdits défauts. 2.4 2.4.1 S’agissant concrètement des griefs soulevés par le recourant, il est exact que l’examen des conditions illicites de détention ne saurait se limiter au seul critère de la taille d’une cellule pour exclure l’illicéité des conditions de détention au sens de l’art. 3 CEDH. Les autres aspects des conditions de la détention sont également à prendre en compte pour vérifier le respect des normes applicables en la matière (TF 6B_284/2020</w:t>
      </w:r>
    </w:p>
    <w:p>
      <w:r>
        <w:t>- 10 - du 3 juillet 2020 consid. 2.3). Le même raisonnement doit être tenu s’agissant de l’appréciation du critère lié à la durée de l’incarcération, comme l’a du reste déjà retenu la Cour de céans dans la présente affaire. En effet, le caractère inhumain ou dégradant des conditions d’incarcération ne peut résulter uniquement de l’analyse de ces deux critères, à l’exclusion des autres aspects des conditions de détention, sauf si l’un d’entre eux devait suffire pour en admettre l’illicéité. 2.4.2 Le recourant fait valoir que le Tribunal des mesures de contrainte n’a pas été en mesure de déterminer dans quelle cellule il avait été incarcéré. Or, cet élément ressort de la demande déposée le 22 juillet 2020 par le recourant lui-même. Dans cette écriture, il affirme en effet avoir subi « l’entier de sa détention préventive dans la cellule n° 253 » (P. 5, p. 3). Le recourant ne saurait dès lors reprocher au premier juge de s’être fondé sur cette affirmation pour établir la surface disponible lors de sa détention. L’information donnée par le recourant, concerné au premier chef, n’avait donc pas à être remise en cause par le Tribunal des mesures de contrainte. 2.4.3 Le recourant fait également grief au Tribunal des mesures de contrainte d’avoir déterminé la surface disponible de sa cellule sur la base des renseignements obtenus de la direction de l’établissement carcéral. Selon lui, le tableau transmis par le Directeur de la prison serait inintelligible et ne permettrait donc pas d’établir la surface disponible, installations sanitaires déduites. Le grief est mal fondé. En effet, l’examen du tableau (P.11/1) permet aisément de déterminer la surface de la cellule n° 253, dont on comprend qu’il s’agit d’une cellule double, à savoir pour deux occupants, disposant d’une surface nette de 11,33 m2, soit de 9,83 m2 une fois déduite la surface forfaitaire de 1,5 m2 dédiée aux installations sanitaires. Etant donné que la cellule a été occupée par deux détenus, la surface à prendre en considération dans l’examen des conditions de détention du recourant pour la période concernée s’élève à 4,915 m2, soit à près de 5 m2.</w:t>
      </w:r>
    </w:p>
    <w:p>
      <w:r>
        <w:t>- 11 - 2.4.4 Ainsi, il y a lieu de constater que la détention provisoire de 57 jours subie par le recourant a été de courte durée et que la surface à disposition dans la cellule où il était incarcéré était nettement supérieure à l’exigence minimale requise de 3 m2 pour emporter une violation de l’art. 3 CEDH. Quant aux circonstances invoquées par le recourant, il faut considérer, pour les motifs susmentionnés, qu’elles ne revêtent pas la gravité exigée pour constituer – à elles seules ou même cumulées – un traitement s’apparentant à de la torture (cf. consid. 2.3). Partant, il n’était ni nécessaire ni opportun que le Tribunal des mesures de contrainte mène une instruction spécifique sur les éléments en question, du moins pour ceux qui pouvaient encore faire l’objet d’un constat. Dans le cas d’espèce, il faut considérer au demeurant que les critères liés à la durée de l’incarcération et à l’espace disponible sont très largement prépondérants par rapport aux autres circonstances invoquées par le recourant. 2.4.5 Le recourant invoque enfin la violation de l’autorité attachée à l’arrêt de renvoi, au motif que le tribunal n’aurait pas instruit les circonstances précitées. Cet argument doit être rejeté. En effet, dans son arrêt du 5 août 2020, la Cour de céans a enjoint le tribunal d’entrer en matière sur la demande du recourant et, en particulier, d’instruire les circonstances de la détention pertinentes, singulièrement la surface à disposition du recourant, qui n’avaient pas été instruites, ce qu’a fait le tribunal dans la décision attaquée. 2.5 En définitive, c’est à juste titre que les conditions de détention subies par le recourant n’ont pas été jugées illicites. 3. Au vu de ce qui précède, le recours, manifestement mal fondé, doit être rejeté sans échange d’écritures (art. 390 al. 2 CPP) et l’ordonnance entreprise confirmée.</w:t>
      </w:r>
    </w:p>
    <w:p>
      <w:r>
        <w:t>- 12 - Les frais de la procédure de recours, constitués de l’émolument d’arrêt, par 1’210 fr. (art. 20 al. 1 TFIP [tarif des frais de procédure et indemnités en matière pénale du 28 septembre 2010; BLV 312.03.1]), ainsi que des frais imputables à la défense d’office (art. 422 al. 1 et 2 let. a CPP), fixés à 395 fr. – indemnité qui comprend des honoraires par 360 fr. (deux heures à 180 fr.), des débours forfaitaires par 7 fr. 20 (cf. art. 26b TFIP qui renvoie à l'art. 3bis RAJ [règlement sur l’assistance judiciaire en matière civile du 7 décembre 2010; BLV 211.02.3]) et la TVA sur le tout, au taux de 7,7 %, par 28 fr. 25, le tout arrondi au franc inférieur –, seront mis à la charge du recourant, qui succombe (art. 428 al. 1 CPP). Il sera relevé en particulier que le mémoire de recours du 15 octobre 2020 reprend dans une large mesure l’argumentation présentée dans le recours du 22 juillet 2020, lequel a donné lieu à une indemnité d’office de 593 fr., pour trois heures d’activité d’avocate, débours et TVA compris. Cela a été de nature à alléger sensiblement les opérations du défenseur d’office dans la présente procédure de recours. Par ces motifs, la Chambre des recours pénale prononce : I. Le recours est rejeté. II. L’ordonnance du 5 octobre 2020 est confirmée. III. L’indemnité allouée au défenseur d’office de T.________ est fixée à 395 fr. (trois cent nonante-cinq francs). IV. Les frais d’arrêt, par 1'210 fr. (mille deux cent dix francs), ainsi que l’indemnité allouée au défenseur d’office du recourant, par 395 fr. (trois cent nonante-cinq francs), sont mis à la charge de T.________. V. Le remboursement à l’Etat de l’indemnité allouée au chiffre III ci-dessus ne pourra être exigé de T.________ que pour autant que sa situation financière le permette.</w:t>
      </w:r>
    </w:p>
    <w:p>
      <w:r>
        <w:t>- 13 - VI. L’arrêt est exécutoire. La vice-présidente : Le greffier : Du Le présent arrêt, dont la rédaction a été approuvée à huis clos, est notifié, par l'envoi d'une copie complète, à : - Me Marie-Alice Noël, avocate (pour T.________), - Ministère public central, et communiqué à : - Mme la Présidente du Tribunal des mesures de contrainte, - Mme la Procureure du Ministère public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