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PC19.018457 vom 13. August 2020</w:t>
      </w:r>
    </w:p>
    <w:p>
      <w:r>
        <w:t>VD Tribunal cantonal, 2020-08-13, FR</w:t>
      </w:r>
    </w:p>
    <w:p>
      <w:r>
        <w:rPr>
          <w:b/>
        </w:rPr>
        <w:t xml:space="preserve">Quelle: </w:t>
      </w:r>
      <w:r>
        <w:t>https://mcp.opencaselaw.ch/entscheid/vd_gerichte_PC19.018457</w:t>
      </w:r>
    </w:p>
    <w:p>
      <w:r>
        <w:t>FR: VD_GERICHTE PC19.018457 du 13 août 2020</w:t>
      </w:r>
    </w:p>
    <w:p>
      <w:r>
        <w:t>IT: VD_GERICHTE PC19.018457 del 13 agosto 2020</w:t>
      </w:r>
    </w:p>
    <w:p>
      <w:pPr>
        <w:pStyle w:val="Heading2"/>
      </w:pPr>
      <w:r>
        <w:t>Erwägungen</w:t>
      </w:r>
    </w:p>
    <w:p>
      <w:r>
        <w:rPr>
          <w:b/>
        </w:rPr>
        <w:t>E. 1.1</w:t>
      </w:r>
    </w:p>
    <w:p>
      <w:r>
        <w:t>Dans le canton de Vaud, la compétence de constater la licéité ou l’illicéité des conditions de détention appartient au Tribunal des mesures de contrainte s’il s’agit de détention avant jugement (TF 1B_39/2013 du 14 février 2013 consid. 3.3 et 3.6 ; JdT 2013 III 86), et au</w:t>
      </w:r>
    </w:p>
    <w:p>
      <w:r>
        <w:t>- 6 - Juge d’application des peines s’il s’agit de l’exécution d’une peine privative de liberté (art. 11 LEP [Loi sur l'exécution des condamnations pénales du 4 juillet 2006 ; BLV 340.01] ; CREP 16 août 2019/666 ; CREP 4 octobre 2018/776). Dans l’un et l’autre cas, la décision rendue par l’autorité compétente peut faire l’objet d’un recours au sens des art. 393 ss CPP (Code de procédure pénale suisse du 5 octobre 2007 ; RS 312.0), directement applicables en ce qui concerne la détention avant jugement et applicables par renvoi de l’art. 38 LEP pour la détention en exécution de peine.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septembre 1979 ; BLV 173.01]).</w:t>
      </w:r>
    </w:p>
    <w:p>
      <w:r>
        <w:rPr>
          <w:b/>
        </w:rPr>
        <w:t>E. 1.2</w:t>
      </w:r>
    </w:p>
    <w:p>
      <w:r>
        <w:t>En l'espèce, interjeté en temps utile auprès de l'autorité compétente, par un détenu qui a la qualité pour recourir (art. 382 al. 1 CPP), et dans les formes prescrites (art. 385 al. 1 CPP), le recours de S.________ est recevable.</w:t>
      </w:r>
    </w:p>
    <w:p>
      <w:r>
        <w:rPr>
          <w:b/>
        </w:rPr>
        <w:t>E. 2</w:t>
      </w:r>
    </w:p>
    <w:p>
      <w:r>
        <w:t>D’emblée, il y a lieu de relever que, dans son jugement du 5 novembre 2019, la Cour d’appel pénale avait statué, sous considérant 8.2.2, sur la licéité des conditions de détention de S.________ au-delà du 28 mai 2019, se fondant à cet égard sur l’ordonnance du Tribunal des mesures de contrainte attaquée dans le cadre du présent recours. A ce stade, il apparaissait dès lors que la Cour de céans ne pouvait plus statuer sur cette question. Toutefois, le jugement précité n’a jamais acquis autorité de chose jugée, puisqu’il a été annulé par le Tribunal fédéral par arrêt du 14 février 2020 et que S.________ a par la suite retiré son appel, rendant ainsi le jugement de première instance, rendu le 28 mai 2019 par le Tribunal correctionnel de l’arrondissement de Lausanne, exécutoire. Ce jugement ne se prononçant que sur la réparation du tort moral engendrée</w:t>
      </w:r>
    </w:p>
    <w:p>
      <w:r>
        <w:t>- 7 - par les conditions de détention illicites subies par le prévenu jusqu’au 28 mai 2019, le recours de S.________ a donc bel et bien encore un objet et il convient ainsi d’entrer en matière sur ce dernier.</w:t>
      </w:r>
    </w:p>
    <w:p>
      <w:r>
        <w:rPr>
          <w:b/>
        </w:rPr>
        <w:t>E. 3.1</w:t>
      </w:r>
    </w:p>
    <w:p>
      <w:r>
        <w:t>Le recourant soutient que le calcul de la surface nette de la cellule n° 156 effectué par le Tribunal des mesures de contrainte serait erroné et que la surface individuelle à sa disposition serait en réalité inférieure à 4 m2. Cette constatation serait suffisante à faire réformer l’ordonnance entreprise sans complément d’instruction.</w:t>
      </w:r>
    </w:p>
    <w:p>
      <w:r>
        <w:rPr>
          <w:b/>
        </w:rPr>
        <w:t>E. 3.2.1</w:t>
      </w:r>
    </w:p>
    <w:p>
      <w:r>
        <w:t>Au niveau conventionnel, l'art. 3 CEDH (Convention de sauvegarde des droits de l’homme et des libertés fondamentales du 4 novembre 1950 ; RS 0.101) prévoit que nul ne peut être soumis à la torture ni à des peines ou traitements inhumains ou dégradants. Sur le plan constitutionnel, l'art. 7 Cst. (Constitution fédérale de la Confédération suisse du 18 avril 1999 ; RS 101) prescrit de son côté que la dignité humaine doit être respectée et protégée. A teneur de l'art. 10 al. 3 Cst., la torture et tout autre traitement ou peine cruels, inhumains ou dégradants sont interdits. Au niveau législatif, l'art. 3 al. 1 CPP rappelle le principe du respect de la dignité humaine. L'art. 235 CPP régit l'exécution de la détention ; il pose le principe général de proportionnalité (al. 1) et précise que les cantons règlent les droits et les obligations des prévenus en détention (al. 5) (Härri, in : Niggli/Heer/Wiprächtiger [éd.], Basler Kommentar, Schweizerische Strafprozessordnung, 2e éd., Bâle 2014, ad art. 234 et 235 CPP). Dans le canton de Vaud, le RSDAJ (Règlement sur le statut des personnes détenues placées en établissement de détention avant jugement du 28 novembre 2018 ; BLV 340.02.5) ne contient aucune disposition précise concernant l'aménagement, l'équipement, la dimension des cellules ou la surface dont doit bénéficier chaque détenu à l'intérieur de celles-ci.</w:t>
      </w:r>
    </w:p>
    <w:p>
      <w:r>
        <w:rPr>
          <w:b/>
        </w:rPr>
        <w:t>E. 3.2.2</w:t>
      </w:r>
    </w:p>
    <w:p>
      <w:r>
        <w:t>Pour le domaine spécifique de la détention, la Suisse a ratifié, le 7 octobre 1988, la Convention européenne de 1987 pour la prévention</w:t>
      </w:r>
    </w:p>
    <w:p>
      <w:r>
        <w:t>- 8 - de la torture et des peines ou traitements inhumains ou dégradants (RS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(ci-après : RPE). Les RPE – et a fortiori leur commentaire – ont le caractère de simples directives à l’intention des Etats membres du Conseil de l’Europe (Härri, op. cit., n. 6 ad art. 235 CPP). Le Tribunal fédéral en tient cependant compte dans la concrétisation de la liberté personnelle et des autres droits fondamentaux garantis par la Cst. et par la CEDH (ATF 140 I 125 consid. 3.2 ; ATF 139 IV 41 consid. 3.2 ; ATF 123 I 112 consid. 4d/cc).</w:t>
      </w:r>
    </w:p>
    <w:p>
      <w:r>
        <w:rPr>
          <w:b/>
        </w:rPr>
        <w:t>E. 3.2.3</w:t>
      </w:r>
    </w:p>
    <w:p>
      <w:r>
        <w:t>S’agissant de la jurisprudence fédérale relative aux conditions de détention, se prononçant sur la situation de la prison genevoise de Champ-Dollon, le Tribunal fédéral a jugé qu'en cas de surpopulation carcérale, l'occupation d'une cellule dite individuelle par trois détenus – chacun disposant d'un espace individuel de 4 m2, restreint du mobilier – est une condition de détention difficile ; elle n'est cependant pas constitutive d'une violation de l'art. 3 CEDH et ne représente pas un traitement dégradant portant atteinte à la dignité humaine des prévenus (ATF 140 I 125 consid. 3.2). En revanche, l'occupation d'une cellule dite triple par six détenus avec une surface individuelle inférieure à 3,83 m2 – restreinte encore par le mobilier – pouvait constituer une violation de l'art. 3 CEDH si elle s'étendait sur une longue période et si elle s'accompagnait d'autres mauvaises conditions de détention. Il fallait dès lors considérer la période pendant laquelle l’intéressé avait été détenu dans les conditions incriminées, une durée s'approchant de trois mois consécutifs – délai que l'on retrouve en matière de contrôle périodique de la détention provisoire</w:t>
      </w:r>
    </w:p>
    <w:p>
      <w:r>
        <w:t>- 9 - ou pour des motifs de sûreté (cf. art. 227 al. 7 CPP) – apparaissant comme la limite au-delà de laquelle les conditions de détention susmentionnées ne pouvaient plus être tolérées (ATF 140 I 125 consid. 3.6.3 ; TF 1B_325/2017 du 14 novembre 2017 consid. 3.3). Depuis lors, le Tribunal fédéral – s'inspirant également de la jurisprudence de la Cour européenne des droits de l'homme (cf. arrêts cités à l'ATF 140 I 125 consid. 3.4 ; TF 1B_325/2017 précité) – s'en est tenu au critère de la surface individuelle inférieure à 4 m2 (TF 1B_325/2017 précité ; TF 1B_394/2016 du 25 avril 2017 consid. 2.2.1). Dans un arrêt de principe Mursic contre Croatie du 20 octobre 2016 (§ 110 à 115), la Grande Chambre de la Cour européenne des droits de l'homme s'est cependant écartée de cet ordre de grandeur de 4 m2, déduit des normes établies par le CPT, en retenant qu'une surface de 3 m2 au sol par détenu constituait la norme minimale pertinente (TF 1B_325/2017 précité). La Cour européenne des droits de l’homme a par ailleurs relevé que, dans les cas où la surpopulation n’était pas importante au point de soulever à elle seule un problème de violation de la CEDH, les autres aspects des conditions de la détention devaient être pris en compte, comme l’aération disponible, la qualité du chauffage, le respect des règles d’hygiène de base et la possibilité d’utiliser les toilettes de manière privée (cf. arrêt Canali contre France du 25 avril 2013 § 52 et 53). A cet égard, dans des cas où chaque détenu disposait de 3 à 4 m2, une violation de l’art. 3 CEDH a été retenue parce que le manque d’espace s’accompagnait, par exemple, d’un manque de ventilation et de lumière (arrêt Babouchkine contre Russie du 18 octobre 2007 § 44), d’un accès limité à la promenade en plein air et d’un confinement en cellule (arrêt Istvan Gabor Kovacs contre Hongrie du 17 janvier 2012 § 26). Ainsi, la Cour européenne des droits de l’homme a retenu que ce cumul de circonstances conduisait à un traitement dégradant (arrêt Aleksandr Makarov contre Russie du 12 mars 2009 § 95 à 98). En définitive, pour que les conditions matérielles de détention atteignent un niveau d’humiliation ou d’avilissement suffisant pour emporter une violation de l’art. 3 CEDH, il faut que la surface individuelle</w:t>
      </w:r>
    </w:p>
    <w:p>
      <w:r>
        <w:t>- 10 -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 citées ; TF 1B_325/2017 précité ; TF 6B_456/2015 du 21 mars 2016 consid. 2.1). En principe, si la surface disponible dépasse 4 m2, les conditions de détention ne sont pas illicites. S'agissant de la prison vaudoise du Bois-Mermet, le Tribunal fédéral a précisé que, lors du calcul de la surface individuelle à disposition de chaque détenu, la surface des installations sanitaires se trouvant dans la cellule devait être retranchée (TF 1B_325/2017 précité ; TF 1B_70/2016 du 24 juin 2016 consid. 3.4), à raison de 1,5 m2 (CREP 5 septembre 2019/728 consid. 2.2.1).</w:t>
      </w:r>
    </w:p>
    <w:p>
      <w:r>
        <w:rPr>
          <w:b/>
        </w:rPr>
        <w:t>E. 3.3</w:t>
      </w:r>
    </w:p>
    <w:p>
      <w:r>
        <w:t>En l’occurrence, la surface brute de la cellule n° 156 occupée par le recourant est de 9,8 m2. Il y a lieu de déduire de cet espace brut une surface de 0,71 m2 correspondant aux murs côté porte, ainsi qu’une surface de 1,5 m2 pour les sanitaires, constitués d’un lavabo et de WC. Ainsi, la surface nette de la cellule litigieuse à prendre en compte s’élève à 7,59 m2 (9,8 - 0,71 - 1,5). C’est à cet égard de manière erronée que les mesures produites par la direction de l’établissement pénitentiaire – sur lesquelles paraît s’être fondé le Tribunal des mesures de contrainte pour effectuer son calcul – mentionnent une surface nette de 9,51 m2 après déduction de la surface des murs côté porte (9,8 - 0,71 = 9,09 m2 ; cf. P. 6/3). Le recourant occupant la cellule avec un autre détenu, la surface de 7,59 m2 doit encore être divisée par deux pour déterminer l’espace individuel net à disposition, qui est donc de 3,795 m2. Cette surface individuelle étant comprise entre 3 et 4 m2, il y aurait donc lieu d’examiner si des circonstances aggravantes permettent</w:t>
      </w:r>
    </w:p>
    <w:p>
      <w:r>
        <w:t>- 11 - de conclure à une violation de l’art. 3 CEDH. Si on peut déjà constater que la durée de la détention est en l’espèce supérieure à trois mois, il n’est pas possible pour la Cour de céans de se prononcer sur les autres aspects des conditions de détention du recourant, dès lors que le Tribunal des mesures de contrainte, qui concluait à l’existence d’une surface nette supérieure à 4 m2, n’a pas vraiment examiné ces éléments, se bornant à relever que l’absence de cloison et la température dans la cellule étaient des facteurs aggravants notoires. Il convient donc de retourner le dossier à l’autorité de première instance afin qu’elle complète son examen des conditions de la détention de S.________, le cas échéant en instruisant plus avant certains éléments, et statue sur leurs conséquences.</w:t>
      </w:r>
    </w:p>
    <w:p>
      <w:r>
        <w:rPr>
          <w:b/>
        </w:rPr>
        <w:t>E. 4</w:t>
      </w:r>
    </w:p>
    <w:p>
      <w:r>
        <w:t>En définitive, le recours doit être admis et l’ordonnance entreprise annulée, la cause étant transmise au Juge d’application des peines – désormais compétent en matière de contrôle de la détention dans le cas de l’exécution d’une peine privative de liberté (cf. consid. 1.1 supra) – pour complément d’instruction dans le sens des considérants. Les frais de la procédure de recours, constitués en l’espèce de l'émolument d'arrêt, par 1'210 fr. (art. 20 al. 1 TFIP [Tarif des frais de procédure et indemnités en matière pénale du 28 septembre 2010 ; BLV 312.03.1]), et des frais imputables à la défense d’office (art. 422 al. 1 et 2 let. a CPP), fixés à 540 fr., auxquels il convient d’ajouter des débours forfaitaires à concurrence de 2 % (art. 3bis al. 1 RAJ [Règlement sur l'assistance judiciaire en matière civile du 7 décembre 2010 ; BLV 211.02.3], applicable par renvoi de l’art. 26b TFIP), par 10 fr. 80, plus la TVA, par 42 fr. 40, soit à 593 fr. 20 au total, montant qu’il convient d’arrondir à 593 fr., seront laissés à la charge de l’Etat (art. 428 al. 4 CPP). Par ces motifs, la Chambre des recours pénale prononce :</w:t>
      </w:r>
    </w:p>
    <w:p>
      <w:r>
        <w:t>- 12 - I. Le recours est admis. II. L’ordonnance du 1er novembre 2019 est annulée. III. Le dossier de la cause est renvoyé au Juge d’application des peines pour qu’il procède dans le sens des considérants. IV. L’indemnité allouée au défenseur d’office de S.________ est fixée à 593 fr. (cinq cent nonante-trois francs). V. Les frais d’arrêt, par 1'210 fr. (mille deux cent dix francs), ainsi que l’indemnité allouée au défenseur d’office de S.________, par 593 fr. (cinq cent nonante-trois francs), sont laissés à la charge de l’Etat. VI. L’arrêt est exécutoire. Le président : La greffière : Du Le présent arrêt, dont la rédaction a été approuvée à huis clos, est notifié, par l'envoi d'une copie complète, à : - Me Raphaël Brochellaz, avocat (pour S.________), - Ministère public central, et communiqué à : - Mme la Présidente du Tribunal des mesures de contrainte, - Mme/M. le Juge d’application des peines, - M. le Procureur cantonal Strada, - Service pénitentiaire, par l’envoi de photocopies. Le présent arrêt peut faire l'objet d'un recours en matière pénale devant le Tribunal fédéral au sens des art. 78 ss LTF (Loi sur le</w:t>
      </w:r>
    </w:p>
    <w:p>
      <w:r>
        <w:t>- 13 -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