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PC19.015880 vom 10. November 2020</w:t>
      </w:r>
    </w:p>
    <w:p>
      <w:r>
        <w:t>VD Tribunal cantonal, 2020-11-10, FR</w:t>
      </w:r>
    </w:p>
    <w:p>
      <w:r>
        <w:rPr>
          <w:b/>
        </w:rPr>
        <w:t xml:space="preserve">Quelle: </w:t>
      </w:r>
      <w:r>
        <w:t>https://mcp.opencaselaw.ch/entscheid/vd_gerichte_PC19.015880</w:t>
      </w:r>
    </w:p>
    <w:p>
      <w:r>
        <w:t>FR: VD_GERICHTE PC19.015880 du 10 novembre 2020</w:t>
      </w:r>
    </w:p>
    <w:p>
      <w:r>
        <w:t>IT: VD_GERICHTE PC19.015880 del 10 novembre 2020</w:t>
      </w:r>
    </w:p>
    <w:p>
      <w:pPr>
        <w:pStyle w:val="Heading2"/>
      </w:pPr>
      <w:r>
        <w:t>Erwägungen</w:t>
      </w:r>
    </w:p>
    <w:p>
      <w:r>
        <w:rPr>
          <w:b/>
        </w:rPr>
        <w:t>E. 2</w:t>
      </w:r>
    </w:p>
    <w:p>
      <w:r>
        <w:t>octobre 2018, et que celle-ci était nécessaire pour statuer sur les conditions de détention de G.________ du 19 février au 6 décembre 2018 au terme d’une approche globale, le Tribunal fédéral a annulé les deux arrêts qu’elle avait rendus le 15 octobre 2019, au motif d’une violation du droit d’être entendu du recourant, sans autre examen des autres griefs soulevés par ce dernier. L’ordonnance du 2 octobre 2018 ainsi que les éléments de faits et les motifs retenus dans celle-ci ont été repris dans l’état de fait du présent arrêt, de sorte que la violation du droit d’être entendu du recourant telle que constatée par le Tribunal fédéral est réparée.</w:t>
      </w:r>
    </w:p>
    <w:p>
      <w:r>
        <w:t>- 14 -</w:t>
      </w:r>
    </w:p>
    <w:p>
      <w:r>
        <w:rPr>
          <w:b/>
        </w:rPr>
        <w:t>E. 4</w:t>
      </w:r>
    </w:p>
    <w:p>
      <w:r>
        <w:t>Dans son arrêt, le Tribunal fédéral demande à la Cour de céans de procéder à une appréciation globale des conditions de détention du recourant durant les périodes du 19 février 2018 au 6 août 2018, puis du 7 août 2018 au</w:t>
      </w:r>
    </w:p>
    <w:p>
      <w:r>
        <w:rPr>
          <w:b/>
        </w:rPr>
        <w:t>E. 4.1.1</w:t>
      </w:r>
    </w:p>
    <w:p>
      <w:r>
        <w:t>Au niveau conventionnel, l'art. 3 CEDH (Convention de sauvegarde des droits de l’homme et des libertés fondamentales du 4 novembre 1950; RS 0.101), prévoit que nul ne peut être soumis à la torture ni à des peines ou traitements inhumains ou dégradants. Sur le plan constitutionnel, l'art. 7 Cst. (Constitution fédérale de la Confédération suisse du 18 avril 1999; RS 101) prescrit de son côté que la dignité humaine doit être respectée et protégée. A teneur de l'art. 10 al. 3 Cst., la torture et tout autre traitement ou peine cruels, inhumains ou dégradants sont interdits. Au niveau législatif, l'art. 3 al. 1 CPP (Code de procédure pénale suisse du 5 octobre 2007; RS 312.0) rappelle le principe du respect de la dignité humaine. L'art. 235 CPP régit l'exécution de la détention;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(Règlement sur le statut des personnes détenues placées en établissement de détention avant jugement du 28 novembre 2018; BLV 340.02.5) ne contient aucune disposition précise concernant l'aménagement, l'équipement, la dimension des cellules ou la surface dont doit bénéficier chaque détenu à l'intérieur de celles-ci.</w:t>
      </w:r>
    </w:p>
    <w:p>
      <w:r>
        <w:rPr>
          <w:b/>
        </w:rPr>
        <w:t>E. 4.1.2</w:t>
      </w:r>
    </w:p>
    <w:p>
      <w:r>
        <w:t>Pour le domaine spécifique de la détention, la Suisse a ratifié, le 7 octobre 1988, la Convention européenne de 1987 pour la</w:t>
      </w:r>
    </w:p>
    <w:p>
      <w:r>
        <w:t>- 15 -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141 I 141 consid. 6.3.3; ATF 140 I 125 consid. 3.2; ATF 139 IV 41 consid. 3.2; ATF 123 I 112 consid. 4d/cc). Pour le Tribunal fédéral, même si les mesures privatives de liberté s’accompagnent inévitablement de souffrances et d’humiliation, cela n’emporte pas en soi une violation de l’art. 3 CEDH.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à une détresse ou à une épreuve d’une intensité qui excède le niveau inévitable de souffrance inhérent à une telle mesure et que, eu égard aux exigences pratiques de l’emprisonnement, sa santé et son bien-être sont assurés de manière adéquate (ATF 141 I 141 consid. 6.3.4). Le Tribunal fédéral a insisté sur l’appréciation globale de toutes les conditions concrètes de détention (ATF 141 I 141 précité; ATF 123 I 221</w:t>
      </w:r>
    </w:p>
    <w:p>
      <w:r>
        <w:t>- 16 - consid. II/1c/cc). En ce qui concerne la violation de l’art. 3 CEDH, il a relevé que le traitement dénoncé devait atteindre un minimum de gravité : l’appréciation de ce minimum dépend de l’ensemble des données de la cause et notamment de la nature et du contexte du traitement ainsi que de sa durée (ATF 139 I 272 consid. 4). Cette durée est en effet susceptible de rendre incompatible avec la dignité humaine une situation qui ne le serait pas nécessairement sur une courte période (ATF 141 I 141 précité; ATF 140 I 125 consid. 3.3).</w:t>
      </w:r>
    </w:p>
    <w:p>
      <w:r>
        <w:rPr>
          <w:b/>
        </w:rPr>
        <w:t>E. 4.1.3</w:t>
      </w:r>
    </w:p>
    <w:p>
      <w:r>
        <w:t>S’agissant plus précisément de la situation de la prison genevoise de Champ-Dollon, le Tribunal fédéral a jugé qu'en cas de surpopulation carcérale, l'occupation d'une cellule dite individuelle par trois détenus – chacun disposant d'un espace individuel de 4 m2, restreint du mobilier, – était une condition de détention difficile; elle n'était cependant pas constitutive d'une violation de l'art. 3 CEDH et ne représentait pas un traitement dégradant portant atteinte à la dignité humaine des prévenus (ATF 140 I 125 consid. 3.6.3).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 ou pour des motifs de sûreté (cf. art. 227 al. 7 CPP) – apparaissant comme la limite au-delà de laquelle les conditions de détention susmentionnées ne pouvaient plus être tolérées (ATF 140 I 125 consid. 3.6.3; TF 6B_1205/2018 du 22 février 2019 consid. 2.1; TF 1B_325/2017 du 14 novembre 2017 consid. 3.3; TF 6B_1244/2016 du 31 octobre 2017 consid. 2.1; TF 6B_688/2015 du 19 mai 2016 consid. 7.2).</w:t>
      </w:r>
    </w:p>
    <w:p>
      <w:r>
        <w:rPr>
          <w:b/>
        </w:rPr>
        <w:t>E. 4.1.4</w:t>
      </w:r>
    </w:p>
    <w:p>
      <w:r>
        <w:t>Depuis lors, le Tribunal fédéral – s'inspirant également de la jurisprudence de la Cour européenne des droits de l'homme (cf. arrêts cités à l'ATF 140 I 125 consid. 3.4; TF 1B_325/2017 précité consid. 3.3) –</w:t>
      </w:r>
    </w:p>
    <w:p>
      <w:r>
        <w:t>- 17 - s'en est tenu au critère de la surface individuelle inférieure à 4 m2 (TF 1B_325/2017 précité;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Il est relevé à cet égard que la jurisprudence européenne ne fait apparaître aucune distinction entre les détenus condamnés et ceux qui sont en l’attente de leur procès pour ce qui est de l’application de la norme minimale de 3 m2 de surface au sol par détenu en cellule collective (TF 6B_1244/2016 du 31 octobre 2017 consid. 2.5, qui cite l’arrêt Mursic contre Croatie susmentionné). En définitive, pour que les conditions matérielles de détention atteignent un niveau d’humiliation ou d’avilissement suffisant pour emporter une violation de l’art. 3 CEDH, il faut que la surface individuelle nette à disposition dans la cellule soit inférieure à 3 m2 ou que, située</w:t>
      </w:r>
    </w:p>
    <w:p>
      <w:r>
        <w:t>- 18 -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TF 1B_325/2017 précité; TF 6B_456/2015 du 21 mars 2016 consid. 2.1). En principe, si la surface disponible dépasse 4 m2, les conditions de détention ne sont pas illicites.</w:t>
      </w:r>
    </w:p>
    <w:p>
      <w:r>
        <w:rPr>
          <w:b/>
        </w:rPr>
        <w:t>E. 4.1.5</w:t>
      </w:r>
    </w:p>
    <w:p>
      <w:r>
        <w:t>S'agissant de la prison vaudoise du Bois-Mermet, le Tribunal fédéral a précisé que, lors du calcul de la surface individuelle à disposition de chaque détenu, la surface des installations sanitaires se trouvant dans la cellule devait être retranchée (TF 1B_325/2017 précité; TF 1B_70/2016 du 24 juin 2016 consid. 3.4), à raison de 1,5 m2 (CREP 5 septembre 2019/728, consid. 2.2.1; CREP 15 août 2019/654 consid. 2.2).</w:t>
      </w:r>
    </w:p>
    <w:p>
      <w:r>
        <w:rPr>
          <w:b/>
        </w:rPr>
        <w:t>E. 4.2</w:t>
      </w:r>
    </w:p>
    <w:p>
      <w:r>
        <w:t>En l’espèce, il ressort de l’ordonnance rendue le 2 octobre 2018 par le Tribunal des mesures de contrainte que G.________ a été détenu entre le 23 février 2016 et le 15 novembre 2017, avec un co-détenu, dans diverses cellules dans lesquelles l’espace individuel était inférieur au standard de 4 m2, soit : du 23 au 26 février 2016 dans la cellule 329, d’une surface de l’ordre de 9,25 m2; du 26 février au 21 mars 2016 dans la cellule 258, d’une surface de l’ordre de 9,25 m2; du 21 mars au 3 octobre 2016 dans la cellule 257, d’une surface de l’ordre de 9,2 m2; et du 3 octobre 2016 au 15 novembre 2017 dans la cellule 157, d’une surface de l’ordre de 8,9 m2. Il avait ensuite, du 15 novembre 2017 au 19 février 2018, occupé la cellule 155, d’une surface de l’ordre de 10,5 m2, puis la cellule 151, d’une surface de l’ordre de 10 m2, dès le 19 février 2018. On peut donc en déduire que G.________ a occupé successivement deux cellules où il a bénéficié d’une surface individuelle de 3,875 m2 une fois la surface des sanitaires déduite durant 29 jours du</w:t>
      </w:r>
    </w:p>
    <w:p>
      <w:r>
        <w:t>- 19 - 23 février au 21 mars 2016, puis une cellule où il a bénéficié d’une surface individuelle de 3,85 m2 une fois la surface des sanitaires déduite durant 197 jours du 21 mars au 3 octobre 2016, puis une cellule où il a bénéficié d’une surface de 3,7 m2 une fois la surface des sanitaires déduite durant 409 jours, avant d’occuper deux dernières cellules où il a bénéficié de de 4,5 m2 durant 97 jours du 15 novembre 2017 au 19 février 2018, puis de 4,25 m2 durant 1 jours le 19 février 2018. Procédant à une appréciation globale de la situation, le Tribunal des mesures de contrainte a considéré que la détention de G.________ s’était déroulée dans des conditions illicites durant l’entier de la période considérée, soit depuis le début de son incarcération et jusqu’au 19 février 2018, alors même qu’à cette date il avait été détenu depuis plus de trois mois dans deux cellules offrant un espace individuel minimal de 4 m2 et qu’il travaillait alors à 100 % à l’atelier cuisine depuis entre le 4 octobre 2016, à raison de six jours de travail et de deux jours de congé, en alternance ou non avec son codétenu, se retrouvant parfois seul en cellule. Cette décision était motivée par le fait que l’intéressé avait disposé de largement moins d’espace que le standard fixé par la jurisprudence – soit durant 635 jours sur une période totale de 732 jours –, notamment lors de sa détention de plus d’une année dans une cellule où la surface individuelle nette, sanitaires compris, était de 3,7 m2. A cela s’ajoutait le manque d’intimité dû à l’absence de cloison entre les sanitaires et le reste de la cellule, toujours partagée avec un codétenu, le confinement en cellule généralement trop petite avec un codétenu et des problèmes liés à une isolation, à un chauffage et à une aération lacunaires.</w:t>
      </w:r>
    </w:p>
    <w:p>
      <w:r>
        <w:rPr>
          <w:b/>
        </w:rPr>
        <w:t>E. 4.3</w:t>
      </w:r>
    </w:p>
    <w:p>
      <w:r>
        <w:t>Dans le cadre des présentes causes, G.________ soutient que sa détention s’est déroulée dans des conditions illicites entre le 19 février 2018 et le</w:t>
      </w:r>
    </w:p>
    <w:p>
      <w:r>
        <w:rPr>
          <w:b/>
        </w:rPr>
        <w:t>E. 4.4</w:t>
      </w:r>
    </w:p>
    <w:p>
      <w:r>
        <w:t>Cela étant, entre le 19 février 2018 et le 6 décembre 2018, G.________ a donc séjourné durant 291 jours dans une cellule où il a disposé d’un espace individuel sensiblement supérieur au standard minimal de 4 m2, et non pas « tout juste suffisant » comme le relevait le Tribunal des mesures de contrainte dans son ordonnance du 2 octobre 2018. Il a partagé cette cellule, dans laquelle les sanitaires sont séparés du reste de la cellule au moyen d’un rideau ignifuge, avec un codétenu non-fumeur du 19 février 2018 au 12 août 2018, puis avec un codétenu fumeur du 13 août 2018 au 6 décembre 2018, soit durant 116 jours. Du 20 février 2018 au 5 décembre 2018, G.________ était occupé à 50% à l’atelier sport, soit six semaines de trois jours de travail, puis six semaines de deux jours de travail, et bénéficiait en sus d’une heure de promenade par jour. Il a aussi bénéficié de fréquents appels téléphoniques et de très nombreuses visites de son entourage, notamment de son fils, accompagné de la mère de celui-ci. Enfin, son séjour dans la cellule 151 a été précédé d’un séjour de plus de trois mois dans une cellule offrant encore un peu plus d’espace individuel et alors qu’il travaillait à 100% à l’atelier cuisine, à raison de 6 jours par semaine et de 2 jours de congé. Il a en outre été suivi d’un</w:t>
      </w:r>
    </w:p>
    <w:p>
      <w:r>
        <w:t>- 21 - transfert aux EPO, où les conditions de détention sont notoirement meilleures. En l’occurrence, il n’apparaît pas qu’au cours de la période en cause, ni même avant celle-ci, G.________ aurait été détenu dans une cellule où il aurait disposé d’un espace individuel inférieur à 4 m2 durant plus de trois mois. Il n’y a dès lors pas lieu, conformément à la jurisprudence constante du Tribunal fédéral, de tenir compte d’éventuels facteurs aggravants du constat selon lequel le détenu a séjourné durant une longue période dans une cellule d'une superficie inférieure à 4 m2 (TF 1B_325/2017 du 14 novembre 2017 consid. 3.5). On précisera encore que la jurisprudence citée par le Tribunal fédéral au consid. 2.4 de son arrêt de renvoi relative à la durée permettant d’interrompre des périodes durant lesquelles les conditions de détention sont contraires à la dignité humaine ne s’applique pas dans le cas d’espèce, puisque précisément, dans le cas présent, la détention du recourant ne s’est pas déroulée dans une cellule de moins de 4 m2 pendant trois mois ou plus, immédiatement avant ou pendant la période litigieuse. Du reste, comme cela avait déjà été constaté dans les arrêts du 15 octobre 2019, qui n’ont pas été remis en cause sur ce point par le Tribunal fédéral, même s'il est admis que les conditions de détention à la prison du Bois-Mermet sont difficiles en raison des problèmes d'isolation et de la séparation des sanitaires de la cellule par un rideau ignifuge et non par une cloison, cela ne représente pas, à soi seul, un traitement dégradant portant atteinte à la dignité humaine; il ne ressort du reste pas du dossier que le recourant se serait plaint auprès de la direction de la prison d'une quelconque souffrance concernant les problèmes d'isolation, d’aération ou de température dans les cellules qu'il a occupées, ce qui aurait immanquablement été le cas si ces conditions n’avaient en elles- mêmes pas été admissibles. De même, le recourant, qui s’était inscrit en tant que fumeur à son entrée à la prison du Bois-Mermet, affirme sans le démontrer avoir</w:t>
      </w:r>
    </w:p>
    <w:p>
      <w:r>
        <w:t>- 22 - avisé la Direction de l’établissement qu’il était incommodé par la fumée de son codétenu; or, il n’est pas non plus établi qu’il aurait requis formellement un changement de cellule pour cette raison, ni même qu’il serait réellement devenu non-fumeur, ni a fortiori que la fumée passive lui aurait été spécifiquement interdite pour des motifs médicaux. Quoi qu’il en soit, la période durant laquelle G.________ a partagé sa cellule avec un codétenu fumeur a duré moins de quatre mois, soit du 13 août 2018 au 6 décembre 2018 et, durant cette période, il travaillait hors de sa cellule à 50%. On est ainsi bien loin des cas dans lesquels la Cour européenne des droits de l’homme a constaté pour ce motif une violation de l’art. 3 CEDH (arrêt Florea contre Roumanie du 14 septembre 2010, requête no 37186/03; arrêt Elefteriadis contre Roumanie du 25 janvier 2011, requête no 38427/05; ATF 140 I 125 consid. 3.6.4), étant rappelé que le partage d'une cellule avec des fumeurs n'est pas constitutif d'un traitement dégradant au sens de l'art. 3 CEDH s'il est limité dans le temps et s'il n'est pas fait état d'une atteinte directe à la santé du prévenu non-fumeur (ATF 140 I 125 consid. 3.6.4). Il est constant que G.________ a travaillé durant toute la période en cause au taux de 50% à l’atelier sport, soit six semaines à 2 jours de travail (horaires : 07:45 - 11:30 puis de 13:45 - 16:30) puis six semaines à 3 jours de travail et qu’il œuvrait en alternance ou non avec son codétenu; en outre, il a pu bénéficier avec son codétenu, chaque après-midi de beau temps, de temps de travail à l’extérieur même lors de ses jours de congé; par mauvais temps, ces sorties étaient réduites à une heure de promenade par jour ainsi qu’à trois séries de sport par semaine. Le recourant a en outre pu bénéficier de visites « père-enfants », de séances de créativité, de très nombreuses visites et de nombreux téléphones; il ne s’est en revanche pas inscrit aux activités socio- éducatives proposées. Compte tenu de ces circonstances – à savoir le nombre d’heures en moyenne passées hors de la cellule ou seul dans celle-ci, la possibilité de travailler à mi-temps notamment à l’extérieur, l’accès à des activités sportives et récréatives ainsi que des promenades,</w:t>
      </w:r>
    </w:p>
    <w:p>
      <w:r>
        <w:t>- 23 - à des visites, en particulier avec son fils, et à des téléphones –, dans lesquelles G.________ a été détenu durant 9 mois et demi, il apparaît que le confinement subi n’est pas excessif au regard de la jurisprudence à laquelle se réfère le Tribunal fédéral dans son arrêt de renvoi (TF 1B_394/2016 du 25 avril 2017 consid. 2.2 à 2.4), dans la mesure où la cellule en cause garantissait quoi qu’il en soit à chacun des codétenus un espace individuel supérieur à 4 m2. On ne saurait, par ailleurs, considérer que la détention subie antérieurement à la période ici en cause, et qui a été considérée comme illicite dans son ensemble aux termes de l’ordonnance du 2 octobre 2018, devrait conduire au constat que les conditions de détention de G.________ auraient été illicites durant toute sa période de détention à la prison du Bois-Mermet. En effet, contrairement à ce que soutient le recourant, il n’est pas ici question de transposer l’appréciation faite dans la première décision à celle qu’il convient de rendre dans les présentes causes, mais bien de procéder à une appréciation globale de ses conditions de détention. Or, comme l’ont clairement expliqué les deux autorités de première instance dans leurs déterminations, si la période de détention que G.________ a passée du 15 novembre 2017 au 19 février 2018 – soit durant 96 jours dans la cellule 155 et durant 1 jour dans la cellule 151 ici en cause, toutes deux disposant d’un espace individuel supérieur au standard minimal de 4 m2 et alors que le recourant travaillait à 100% – aurait pu être considérée comme licite prise isolément, c’est bien dans le cadre d’une appréciation globale que tel n’a pas été le cas. En effet, les jours de détention qui étaient à considérer par ailleurs, soit 635 jours sur 732 jours au total, s’étaient clairement déroulés dans des conditions illicites. Il faut ainsi en déduire que les conditions de détention passées durant plus de trois mois immédiatement avant la période litigieuse ne sauraient constituer un facteur d’aggravation à prendre en compte dans le cadre de l’examen des conditions dans lesquelles se sont déroulés les 291 jours de détention qui ont suivi et dont il est aujourd’hui demandé le constat de l’illicéité.</w:t>
      </w:r>
    </w:p>
    <w:p>
      <w:r>
        <w:t>- 24 -</w:t>
      </w:r>
    </w:p>
    <w:p>
      <w:r>
        <w:rPr>
          <w:b/>
        </w:rPr>
        <w:t>E. 4.5</w:t>
      </w:r>
    </w:p>
    <w:p>
      <w:r>
        <w:t>En définitive, c’est donc à juste titre que le Tribunal des mesures de contrainte ainsi que le Juge d’application des peines ont rejeté les demandes en constat des conditions illicites de sa détention déposées par G.________ le</w:t>
      </w:r>
    </w:p>
    <w:p>
      <w:r>
        <w:rPr>
          <w:b/>
        </w:rPr>
        <w:t>E. 6</w:t>
      </w:r>
    </w:p>
    <w:p>
      <w:r>
        <w:t>décembre 2018. Durant toute cette période, soit 291 jours, il n’a occupé qu’une cellule, soit la cellule 151. Cette cellule a une surface brute de 11,3256 m2 (cf. dossier JAP, P. 5/2), une surface de 11,0421 m2 lorsque l’on déduit la</w:t>
      </w:r>
    </w:p>
    <w:p>
      <w:r>
        <w:t>- 20 - surface des murs côté porte (0,1344 et 0,1488 m2), une surface de 10,6044 m2 lorsque l’on déduit en sus le mur adjacent à la fenêtre (0,438 m2) et, enfin, une surface nette de 9,1044 m2 lorsque l’on déduit la surface dédiée aux sanitaires, par 1,5 m2. Il s’ensuit que cette cellule offre une surface individuelle nette de 4,5522 m2 à chacun des deux détenus qui y sont logés. On relèvera d’emblée que c’est en vain que le recourant insiste pour qu’une surface de 2 m2 soit déduite pour l’espace dédié aux sanitaires, puisque c’est une surface forfaitaire de 1,5 m2 qui est déduite pour cet espace dans les cellules de la prison du Bois-Mermet de jurisprudence constante (cf. les références citées sous chiffre 4.1.5 supra). De toute manière, même si l’on enlevait néanmoins une surface de 2 m2 pour les sanitaires, l’espace individuel à disposition de chaque détenu serait encore de 4,3022 m2. Les griefs développés par le recourant s’agissant de la surface de la cellule 151 doivent donc être rejetés.</w:t>
      </w:r>
    </w:p>
    <w:p>
      <w:r>
        <w:rPr>
          <w:b/>
        </w:rPr>
        <w:t>E. 7</w:t>
      </w:r>
    </w:p>
    <w:p>
      <w:r>
        <w:t>août 2019 pour les périodes du 19 février 2018 au 6 août 2018, respectivement du 7 août 2018 au 6 décembre 2018. 5. Pour ce qui est du solde des griefs développés par le recourant dans ses recours du 7 octobre 2019, il y a lieu de se référer aux considérants 2.2 à 3.2 de l’arrêt du 15 octobre 2019 (no 835), qui n’ont pas été remis en cause par le Tribunal fédéral. 5.1 Le recourant faisait ainsi valoir que les arrêts du Tribunal fédéral posant la limite de 4 m2 valaient pour la détention provisoire et non pour l’exécution de peine. Cela étant, même si le recourant était resté au Bois-Mermet après une période de détention provisoire en attendant d’être transféré aux EPO, et avait ainsi passé 122 jours dans la cellule 151 en exécution de peine, il avait été détenu dans une cellule disposant d’une surface individuelle supérieure à 4 m2 et avait travaillé à 50%. Pour le surplus, la jurisprudence ne faisait pas la distinction s’agissant de la surface minimale entre les divers régimes de détention (cf. consid. 4.1.4 supra), et le recourant ne citait aucun arrêt à l’appui de sa thèse. 5.2 Le recourant invoquait ensuite, sans autre précision, la violation du RSPC et du Code pénal, au motif qu’en exécution de peine, le condamné aurait droit à une cellule individuelle et à un travail à temps complet. Le recourant se contentait cependant de prétendre à des droits sans citer de disposition légale ou de jurisprudence spécifique pour appuyer ses allégations. D’après le RSPC, les personnes condamnées n’ont pas le choix de la cellule ou du secteur ou elles sont incarcérées. Même si</w:t>
      </w:r>
    </w:p>
    <w:p>
      <w:r>
        <w:t>- 25 - l’art. 17 al. 4 RSPC dispose qu’en principe les personnes condamnées sont logées dans des cellules individuelles, il s’agit d’un principe, et des exceptions ne sont donc pas exclues. En exécution de peine, les détenus sont astreints au travail et dans la mesure du possible, les établissements leur confient des tâches qui correspondent à leurs aptitudes et à leurs intérêts. Comme déjà exposé, G.________ a travaillé à 50% durant toute la durée de son incarcération au Bois-Mermet sous le régime de l’exécution de peine et ni le droit fédéral ni le RSPC ne prévoient que la personne qui exécute sa peine ait un droit à travailler à 100% (cf. CREP 26 août 2020/665 consid. 3.3). 5.3 Enfin, le recourant prétendait que la libération conditionnelle lui aurait été refusée parce qu’il n’aurait pas été transféré à temps dans un établissement d’exécution de peine « lui permettant de faire ses preuves ». Il apparaît toutefois que G.________ a recouru contre la décision lui refusant l’octroi de la libération conditionnelle et que, dans son arrêt du</w:t>
      </w:r>
    </w:p>
    <w:p>
      <w:r>
        <w:rPr>
          <w:b/>
        </w:rPr>
        <w:t>E. 8</w:t>
      </w:r>
    </w:p>
    <w:p>
      <w:r>
        <w:t>février 2019 (no 104), la Chambre des recours pénale a retenu l’existence d’un risque de récidive élevé, une absence de prise de conscience, d’introspection et de responsabilité ainsi que la banalisation encore importante des actes commis (soit notamment une tentative de meurtre sur sa compagne), de sorte que le recourant ne démontre aucunement que le régime de sa détention au sein de la prison du Bois- Mermet aurait pu jouer un quelconque rôle dans le refus de sa libération conditionnelle. 6. Au vu de ce qui précède, les recours interjetés par G.________ le 7 octobre 2019 doivent être rejetés et les ordonnances rendues par le Tribunal des mesures de contrainte et par le Juge d’application des peines le 23 septembre 2019 confirmées.</w:t>
      </w:r>
    </w:p>
    <w:p>
      <w:r>
        <w:t>- 26 - Les frais de la procédure de recours, constitués de l’émolument du présent arrêt (art. 422 al. 1 CPP), par 2'530 fr. (art. 20 al. 1 TFIP [Tarif des frais de procédure et indemnités en matière pénale du 28 septembre 2010; BLV 312.03.1]), ainsi que des frais imputables à la défense d’office (art. 422 al. 1 et 2 let. a CPP), comprenant une part pour les opérations effectuées par le défenseur d’office de G.________ dans le cadre des deux procédures de recours antérieures à l’arrêt du Tribunal fédéral, par deux fois 593 fr. 20, ainsi qu’une part pour les opérations effectuées dans la présente procédure de recours, fixée à 296 fr. 60, correspondant à 1,5 heure d’activité d’avocat au tarif horaire de 180 fr., par 270 fr., plus des débours forfaitaires à concurrence de 2 %, par 5 fr. 40, et la TVA sur le tout au taux de 7,7%, par 21 fr. 20, soit 1'483 fr. au total (593 fr. 20 x 2 + 296 fr. 60), seront mis à la charge du recourant, qui succombe (art. 428 al. 1, 1re phrase, CPP). Le remboursement à l’Etat de l’indemnité allouée au défenseur d’office ne pourra être exigé du recourant que pour autant que sa situation financière le permette (art. 135 al. 4 CPP). Par ces motifs, la Chambre des recours pénale prononce : I. Les procédures de recours sont jointes. II. Les recours sont rejetés. III. L’ordonnance rendue le 23 septembre 2019 par le Tribunal des mesures de contrainte est confirmée. IV. L’ordonnance rendue le 23 septembre 2019 par le Juge d’application des peines est confirmée. V. L’indemnité allouée au défenseur d’office de G.________ est fixée à 1'483 fr. (mille quatre cent huitante-trois francs). VI. Les frais du présent arrêt, par 2'530 fr. (deux mille cinq cent trente francs), ainsi que l’indemnité due au défenseur d’office</w:t>
      </w:r>
    </w:p>
    <w:p>
      <w:r>
        <w:t>- 27 - de G.________, par 1'483 fr. (mille quatre cent huitante-trois francs), sont mis à la charge de ce dernier. VII. Le remboursement à l’Etat de l’indemnité allouée au chiffre IV ci-dessus ne sera exigible que pour autant que la situation financière de G.________ le permette. VIII. L’arrêt est exécutoire. Le président : Le greffier : Du Le présent arrêt, dont la rédaction a été approuvée à huis clos, est notifié, par l'envoi d'une copie complète, à : - Me Kathrin Gruber (pour G.________), - Ministère public central, et communiqué à : - M. le Président du Tribunal des mesures de contrainte, - M. le Juge d’application des peines, - Mme la Procureure de l’arrondissement de l’Est vaudois, - Office d’exécution des peines, par l’envoi de photocopies. Le présent arrêt peut faire l'objet d'un recours en matière pénale devant le Tribunal fédéral au sens des art. 78 ss LTF (loi du 17 juin 2005 sur le Tribunal fédéral ; RS 173.110). Ce recours doit être déposé</w:t>
      </w:r>
    </w:p>
    <w:p>
      <w:r>
        <w:t>- 28 -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