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PC19.013517 vom 8. Januar 2020</w:t>
      </w:r>
    </w:p>
    <w:p>
      <w:r>
        <w:t>VD Tribunal cantonal, 2020-01-08, FR</w:t>
      </w:r>
    </w:p>
    <w:p>
      <w:r>
        <w:rPr>
          <w:b/>
        </w:rPr>
        <w:t xml:space="preserve">Quelle: </w:t>
      </w:r>
      <w:r>
        <w:t>https://mcp.opencaselaw.ch/entscheid/vd_gerichte_PC19.013517</w:t>
      </w:r>
    </w:p>
    <w:p>
      <w:r>
        <w:t>FR: VD_GERICHTE PC19.013517 du 8 janvier 2020</w:t>
      </w:r>
    </w:p>
    <w:p>
      <w:r>
        <w:t>IT: VD_GERICHTE PC19.013517 del 8 gennaio 2020</w:t>
      </w:r>
    </w:p>
    <w:p>
      <w:pPr>
        <w:pStyle w:val="Heading2"/>
      </w:pPr>
      <w:r>
        <w:t>Volltext</w:t>
      </w:r>
    </w:p>
    <w:p>
      <w:r>
        <w:t>TRIBUNAL CANTONAL 13 PC19.013517-CPB CHAMBRE DE S RECO URS PEN ALE __________________________________________ Arrêt du 8 janvier 2020 __________________ Composition : M. PERROT, président M. Krieger et Mme Giroud Walther, juges Greffière : Mme de Benoit ***** Art. 89 al. 1, 385 et 396 al. 1 CPP Statuant sur le recours interjeté le 2 janvier 2020 par G.________ contre l’ordonnance rendue le 16 décembre 2019 par le Tribunal des mesures de contrainte dans la cause n° PC19.013517-CPB, la Chambre des recours pénale considère : En fait : A. a) Le 15 juillet 2017, G.________ a été interpellé et placé en détention dans les locaux de la police jusqu’à son transfert à la prison du Bois-Mermet le 4 août 2017. Le 20 juillet 2018, il a été transféré à la prison de la Tuilière, où il a séjourné jusqu’au 20 novembre 2018, date à laquelle il a intégré une nouvelle fois la prison du Bois-Mermet. 351</w:t>
      </w:r>
    </w:p>
    <w:p>
      <w:r>
        <w:t>- 2 - b) Par jugement du 29 janvier 2019, le Tribunal correctionnel de l’arrondissement de Lausanne a notamment condamné G.________ pour faux dans les certificats, blanchiment d’argent, infraction grave et contravention à la LStup (loi fédérale sur les stupéfiants et les substances psychotropes du 3 octobre 1951 ; RS 812.121) et infraction à la LEI (loi sur les étrangers et l'intégration du 16 décembre 2005 ; RS 142.20) à 4 ans de peine privative de liberté, sous déduction de 561 jours de détention avant jugement, a constaté qu’il avait subi 18 jours de détention dans des conditions de détention provisoire illicites et a ordonné que 9 jours de détention soient déduits de la peine précitée, à titre de réparation du tort moral. c) Le 4 mars 2019, G.________ a été transféré aux Etablissements de la plaine de l’Orbe. B. a) Par courrier du 4 juillet 2019 adressé au Tribunal des mesures de contrainte, G.________ a requis le constat du caractère illicite des conditions de sa détention provisoire à la prison du Bois-Mermet. Le 15 juillet 2019, G.________ a précisé ses conclusions en ce sens que sa demande visait les périodes entre le 4 août 2017 et le 20 juillet 2018, puis entre le 20 novembre 2018 et le 4 mars 2019. b) Le 30 juillet 2019, à la demande du Tribunal des mesures de contrainte, la direction de la prison du Bois-Mermet a établi un rapport portant sur les conditions de détention de G.________ au sein de l’établissement pénitentiaire. c) Par ordonnance du 16 décembre 2019, le Tribunal des mesures de contrainte a constaté que les conditions dans lesquelles s’était déroulée la détention avant jugement de G.________ entre le 4 août 2017 et le 20 juillet 2018 à la prison du Bois-Mermet étaient conformes aux dispositions légales et à la jurisprudence en la matière et donc licites (I), et qu’entre le 20 novembre 2018 et le 4 mars 2019, celles-ci n’étaient pas</w:t>
      </w:r>
    </w:p>
    <w:p>
      <w:r>
        <w:t>- 3 - conformes aux dispositions légales et à la jurisprudence en la matière et donc illicites (II). Les frais de cette décision, y compris l’indemnité allouée au conseil d’office de G.________, ont été laissés à la charge de l’Etat (III). Selon le suivi des envois de la Poste, l’ordonnance précitée a été réceptionnée par le conseil d’office de G.________ le 17 décembre 2019. C. Par acte du 30 décembre 2019 remis à la Poste le 2 janvier 2020, G.________ a formé recours contre l’ordonnance précitée. Cet écrit ne contient aucune motivation ni aucune conclusion. Le recourant a indiqué qu’au vu des fêtes de fin d’année, il ne pourrait contacter son avocat qu’au début du mois de janvier 2020 et que celui-ci pourrait alors compléter son acte de recours.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246 consid. 2.5.1 ; ATF 140 I 125 consid. 2.1 ; ATF 139 IV 41 consid. 3.1 ; CREP 29 juillet 2019/589 consid. 1). Le recours doit être adressé par écrit, dans un délai de dix jours dès la notification de la décision attaquée (art. 384 let. b CPP), à l’autorité de recours (art. 396 al. 1 CPP), qui est, dans le canton de Vaud, la Chambre des recours pénale du Tribunal cantonal (art. 13 LVCPP [loi</w:t>
      </w:r>
    </w:p>
    <w:p>
      <w:r>
        <w:t>- 4 - vaudoise d’introduction du code de procédure pénale suisse du 19 mai 2009 ; BLV 312.01] ; art. 80 LOJV [loi vaudoise d’organisation judiciaire du 12 décembre 1979 ; BLV 173.01]). Le délai de recours de dix jours – qui ne peut pas être prolongé (art. 89 al. 1 CPP) – commence à courir le jour qui suit la notification de l’ordonnance entreprise (art. 90 al. 1 et 384 let. b CPP ; Calame, in : Kuhn/Jeanneret [éd.], Commentaire romand, Code de procédure pénale suisse, Bâle 2019, 2e éd., n. 3 ad art. 384 CPP). La preuve de la notification incombe à l’autorité pénale et lorsqu’il existe un doute au sujet de la date de celle-ci, il y a lieu de se fonder sur les déclarations du destinataire de la communication (ATF 142 IV 125 ; ATF 129 I 8 consid. 2.2 ; ATF 124 V 400 consid. 2a et les réf. citées).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w:t>
      </w:r>
    </w:p>
    <w:p>
      <w:r>
        <w:t>- 5 - Donatsch/Hansjakob/Lieber [éd.], Kommentar zur Schweizerischen Strafprozessordnung, 2e éd., Zurich/Bâle/Genève 2014, n. 2 ad art. 385 CPP). Ainsi, il doit indiquer dans quelle mesure et sous quel angle il entend critiquer l’établissement des faits ou l’application du droit (Calame, in : Kuhn/Jeanneret [éd.], op. cit.,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1B_232/2017 du 19 juillet 2017 consid. 2.4.3 ; TF 6B_347/2016 du 10 février 2017 consid. 4.1 ; TF 1B_363/2014 du 7 janvier 2015 consid. 2.1 et les réf. citées ; TF 6B_872/2013 du 17 octobre 2013 consid. 3). 1.2 En l’espèce, l’acte de recours ne contient aucune motivation ni aucune conclusion et ne soulève pas le moindre moyen qui justifierait le prononcé d’une autre décision. En outre, le délai de recours ne pouvait pas être prolongé pour déposer une motivation et des conclusions ultérieures. Au surplus, le recours a été déposé après l’échéance du délai de recours de dix jours, de sorte qu’il est tardif. 2. Au vu de ce qui précède, le recours doit être déclaré irrecevable.</w:t>
      </w:r>
    </w:p>
    <w:p>
      <w:r>
        <w:t>- 6 - Le recourant ayant agi sans l’intermédiaire de son défenseur d’office, il n’y a pas lieu d’allouer à ce dernier une indemnité à ce titre. Les frais de la procédure de recours, constitués en l’espèce du seul émolument d'arrêt, par 660 fr.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660 fr. (six cent soixante francs), sont laissés à la charge de l’Etat. III. L’arrêt est exécutoire. Le président : La greffière : Du Le présent arrêt, dont la rédaction a été approuvée à huis clos, est notifié, par l'envoi d'une copie complète, à : - Me Charlotte Iselin, avocate (pour G.________), - Ministère public central, et communiqué à : - Mme la présidente du Tribunal des mesures de contrainte, - Direction du Service pénitentiaire, - Office d’exécution des peines, par l’envoi de photocopies.</w:t>
      </w:r>
    </w:p>
    <w:p>
      <w:r>
        <w:t>- 7 -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