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PC19.011645 vom 26. Februar 2020</w:t>
      </w:r>
    </w:p>
    <w:p>
      <w:r>
        <w:t>VD Tribunal cantonal, 2020-02-26, FR</w:t>
      </w:r>
    </w:p>
    <w:p>
      <w:r>
        <w:rPr>
          <w:b/>
        </w:rPr>
        <w:t xml:space="preserve">Quelle: </w:t>
      </w:r>
      <w:r>
        <w:t>https://mcp.opencaselaw.ch/entscheid/vd_gerichte_PC19.011645</w:t>
      </w:r>
    </w:p>
    <w:p>
      <w:r>
        <w:t>FR: VD_GERICHTE PC19.011645 du 26 février 2020</w:t>
      </w:r>
    </w:p>
    <w:p>
      <w:r>
        <w:t>IT: VD_GERICHTE PC19.011645 del 26 febbraio 2020</w:t>
      </w:r>
    </w:p>
    <w:p>
      <w:pPr>
        <w:pStyle w:val="Heading2"/>
      </w:pPr>
      <w:r>
        <w:t>Erwägungen</w:t>
      </w:r>
    </w:p>
    <w:p>
      <w:r>
        <w:rPr>
          <w:b/>
        </w:rPr>
        <w:t>E. 21</w:t>
      </w:r>
    </w:p>
    <w:p>
      <w:r>
        <w:t>juin au 4 juillet 2018, soit durant 14 jours, il avait occupé la cellule n° 358, d’une surface nette de 9,34 m2 ; du 4 au 25 juillet 2018, soit durant</w:t>
      </w:r>
    </w:p>
    <w:p>
      <w:r>
        <w:rPr>
          <w:b/>
        </w:rPr>
        <w:t>E. 22</w:t>
      </w:r>
    </w:p>
    <w:p>
      <w:r>
        <w:t>heures sur 24, comme le retient à tort le premier juge, mais qu’il était en réalité à l’extérieur de celle-ci entre 12 et 18 heures par semaine en raison de son travail à l’atelier bibliothèque, auxquelles il faut ajouter une heure de promenade par jour. On précisera que cela ne tient pas encore compte des autres activités, telles que visites et téléphones par exemple, qui peuvent également être comptabilisées comme du temps passé hors de la cellule. Or, le fait de passer autant d’heures à l’extérieur réduit de manière significative le confinement en cellule. Dans l’appréciation de la situation, il y a également lieu de tenir compte du fait que, H.________ travaillant en alternance avec son codétenu, il peut profiter seul de la cellule, soit d’une surface nette toujours supérieure à 9 m2 sans déduction des sanitaires, à raison de 12 à 18 heures par semaine également, ce qui allège encore quelque peu les conditions de sa détention. Enfin, on relèvera que, depuis le 7 mai 2018, la plus petite surface individuelle dont a pu bénéficier l’intéressé est celle de la cellule qu’il occupe actuellement, de 3,92 m2, soit un espace de seulement 8 cm2 inférieur à 4 m2, ce qui apparaît minime.</w:t>
      </w:r>
    </w:p>
    <w:p>
      <w:r>
        <w:t>- 12 - Ainsi, le fait que les sanitaires ne soient pas séparés du reste de la cellule par une cloison et que l’isolation thermique du bâtiment soit mauvaise sont des circonstances à elles seules insuffisantes pour fonder un constat d’illicéité au regard des éléments qui précèdent. Il s’ensuit que les conditions de détention de H.________ ne constituent pas un traitement dégradant portant atteinte à la dignité humaine au sens de l’art. 3 CEDH. 3. En définitive, le recours doit être admis et l’ordonnance du 22 janvier 2020 réformée en ce sens que la demande formée par H.________ le 10 juin 2019 est rejetée. Les frais de la procédure de recours, constitués en l’espèce du seul émolument d’arrêt (art. 422 al. 1 CPP), par 1'210 fr. (art. 20 al. 1 TFIP [Tarif des frais de procédure et indemnités en matière pénale du 28 septembre 2010 ; BLV 312.03.1), seront laissés à la charge de l’Etat (art. 423 al. 1 CPP). Par ces motifs, la Chambre des recours pénale prononce : I. Le recours est admis. II. L’ordonnance du 22 janvier 2020 est reformée en ce sens que la demande déposée le 10 juin 2019 par H.________ est rejetée. III. Les frais d’arrêt, par 1'210 fr. (mille deux cent dix francs), sont laissés à la charge de l’Etat. IV. L’arrêt est exécutoire. Le président : La greffière :</w:t>
      </w:r>
    </w:p>
    <w:p>
      <w:r>
        <w:t>- 13 - Du Le présent arrêt, dont la rédaction a été approuvée à huis clos, est notifié, par l'envoi d'une copie complète, à : - M. H.________, - M. le Procureur général adjoint, et communiqué à : - Mme la Présidente du Tribunal des mesures de contrainte, - Mme la Procureure de l’arrondissement de Lausanne, - Direction du Service pénitentiaire, - Me Céline Jarry-Lacombe, avocate (pour H.________),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