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PC19.010022 vom 6. November 2019</w:t>
      </w:r>
    </w:p>
    <w:p>
      <w:r>
        <w:t>VD Tribunal cantonal, 2019-11-06, FR</w:t>
      </w:r>
    </w:p>
    <w:p>
      <w:r>
        <w:rPr>
          <w:b/>
        </w:rPr>
        <w:t xml:space="preserve">Quelle: </w:t>
      </w:r>
      <w:r>
        <w:t>https://mcp.opencaselaw.ch/entscheid/vd_gerichte_PC19.010022</w:t>
      </w:r>
    </w:p>
    <w:p>
      <w:r>
        <w:t>FR: VD_GERICHTE PC19.010022 du 6 novembre 2019</w:t>
      </w:r>
    </w:p>
    <w:p>
      <w:r>
        <w:t>IT: VD_GERICHTE PC19.010022 del 6 novembre 2019</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(ATF 140 I 246 consid. 2.5.1 ; ATF 140 I 125 consid. 2.1 ; ATF 139 IV 41 consid. 3.1 ; CREP 29 juillet 2019/589 consid. 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Selon une règle générale de procédure, le juge qui a rendu une décision annulée par l’autorité de recours est lié par les motifs de l’arrêt d’annulation, tout comme l’autorité de recours elle-même si la décision rendue sur renvoi lui est déférée (cf. Corboz, in : Commentaire de la LTF, 2e éd., Berne 2014, n. 27 ad art. 107 LTF [Loi du 17 juin 2005 sur le Tribunal fédéral ; RS 173.110]). Dans le cas d’un tel recours, les griefs qui tendent à remettre en cause les motifs de l’arrêt d’annulation sont inadmissibles. Faute d’être motivées de manière admissible, les conclusions du recourant qui reposent exclusivement sur de tels motifs sont irrecevables (cf. art. 385 CPP).</w:t>
      </w:r>
    </w:p>
    <w:p>
      <w:r>
        <w:rPr>
          <w:b/>
        </w:rPr>
        <w:t>E. 1.3</w:t>
      </w:r>
    </w:p>
    <w:p>
      <w:r>
        <w:t>En l’espèce, l’arrêt d’annulation du 29 juillet 2019 (n° 589) retient que la cellule dans laquelle le recourant a été détenu avait une surface individuelle nette égale au minimum souhaitable de 4 m2, après déduction de la surface dédiée aux sanitaires. Ce point ne pouvait dès lors plus être contesté, ni par le recourant devant le premier juge, ni par le premier juge lui-même dans la décision attaquée, et il ne peut plus être</w:t>
      </w:r>
    </w:p>
    <w:p>
      <w:r>
        <w:t>- 7 - contesté à l’appui du présent recours. Dès lors, faute de reposer sur des motifs admissibles, le chef de conclusion principal en réforme, dans la mesure où il est fondé sur un prétendu manque de surface disponible, ainsi que le chef subsidiaire de conclusion tendant à l’annulation et au renvoi de la cause pour qu’une inspection locale soit menée en vue de déterminer les dimensions de la cellule (chefs de conclusions III ad let. a et IV ad let. a), sont irrecevables. Pour le surplus seulement, formé en temps utile devant l’autorité compétente, par le prévenu qui a qualité pour recourir et satisfaisant aux conditions de forme posées par l’art. 385 al. 1 CPP, le recours est recevable.</w:t>
      </w:r>
    </w:p>
    <w:p>
      <w:r>
        <w:rPr>
          <w:b/>
        </w:rPr>
        <w:t>E. 2.1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(al. 5) que les cantons règlent les droits et les obligations des prévenus en détention (Härri, Basler Kommentar, Schweizerische Strafprozessordnung, 2e éd., 2014, ad art. 234 et 235 CPP). Dans le canton de Vaud, le RSDAJ ne contient aucune disposition précise concernant l'aménagement, l'équipement, la dimension des cellules ou la surface dont doit bénéficier chaque détenu à l'intérieur de celles-ci.</w:t>
      </w:r>
    </w:p>
    <w:p>
      <w:r>
        <w:rPr>
          <w:b/>
        </w:rPr>
        <w:t>E. 2.2</w:t>
      </w:r>
    </w:p>
    <w:p>
      <w:r>
        <w:t>Pour le domaine spécifique de la détention, la Suisse a ratifié, le 7 octobre 1988, la Convention européenne de 1987 pour la prévention de la torture et des peines ou traitements inhumains ou dégradants (RS</w:t>
      </w:r>
    </w:p>
    <w:p>
      <w:r>
        <w:t>- 8 - 0.106).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précité consid. 3.2 ; ATF 139 IV 41 précité consid. 3.2 ; ATF 123 I 112 consid. 4d/cc).</w:t>
      </w:r>
    </w:p>
    <w:p>
      <w:r>
        <w:rPr>
          <w:b/>
        </w:rPr>
        <w:t>E. 2.3</w:t>
      </w:r>
    </w:p>
    <w:p>
      <w:r>
        <w:t>S’agissant de la jurisprudence fédérale relative aux conditions de détention, se prononçant sur la situation de la prison genevoise de Champ-Dollon, le Tribunal fédéral a jugé qu'en cas de surpopulation carcérale,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précité). En revanche, l'occupation d'une cellule dite triple par six détenus avec une surface individuelle inférieure à 3.83 m2 – restreinte encore par le mobilier – pouvait constituer une violation de l'art. 3 CEDH si elle s'étendait sur une longue période et si elle s'accompagnait d'autres mauvaises conditions de détention. Il fallait dès lors considérer la période pendant laquelle l’intéressé avait été détenu dans les conditions incriminées, une durée s'approchant de trois mois consécutifs – délai que l'on retrouve en matière de contrôle périodique de la détention provisoire</w:t>
      </w:r>
    </w:p>
    <w:p>
      <w:r>
        <w:t>- 9 - ou pour des motifs de sûreté (cf. art. 227 al. 7 CPP) – apparaissant comme la limite au-delà de laquelle les conditions de détention susmentionnées ne pouvaient plus être tolérées (ATF 140 I 125 précité consid. 3.6.3 ; TF 1B_325/2017 du 14 novembre 2017 consid. 3.3). Depuis lors, le Tribunal fédéral – s'inspirant également de la jurisprudence de la Cour européenne des droits de l'homme (cf. arrêts cités à l'ATF 140 I 125 précité consid. 3.4 ; TF 1B_325/2017 précité) – s'en est tenu au critère de la surface individuelle inférieure à 4 m2 (TF 1B_325/2017 précité ; TF 1B_394/2016 du 25 avril 2017 consid. 2.2.1). Dans un arrêt de principe Mursic contre Croatie du 20 octobre 2016 (§ 110 à 115), la Grande Chambre de la Cour européenne des droits de l'homme s'est cependant écartée de cet ordre de grandeur de 4 m2, déduit des normes établies par le CPT, en retenant qu'une surface de 3 m2 au sol par détenu constituait la norme minimale pertinente (TF 1B_325/2017 précité). La Cour européenne des droits de l’homme a par ailleurs relevé que, dans les cas où la surpopulation n’était pas importante au point de soulever à elle seule un problème de violation de la CEDH, les autres aspects des conditions de la détention devaient être pris en compte, comme l’aération disponible, la qualité du chauffage, le respect des règles d’hygiène de base et la possibilité d’utiliser les toilettes de manière privée (cf. arrêt Canali contre France du 25 avril 2013 §§ 52 et 53). A cet égard, dans des cas où chaque détenu disposait de 3 à 4 m2, une violation de l’art. 3 CEDH a été retenue parce que le manque d’espace s’accompagnait, par exemple, d’un manque de ventilation et de lumière (arrêt Babouchkine contre Russie du 18 octobre 2007 § 44), d’un accès limité à la promenade en plein air et d’un confinement en cellule (arrêt Istvan Gabor Kovacs contre Hongrie du 17 janvier 2012 § 26). Ainsi, la Cour européenne des droits de l’homme a retenu que ce cumul de circonstances conduisait à un traitement dégradant (arrêt Aleksandr Makarov contre Russie du 12 mars 2009 §§ 95 à 98). En définitive, pour que les conditions matérielles de détention atteignent un niveau d’humiliation ou d’avilissement suffisant pour emporter une violation de l’art. 3 CEDH, il faut que la surface individuelle</w:t>
      </w:r>
    </w:p>
    <w:p>
      <w:r>
        <w:t>- 10 - nette à disposition dans la cellule soit inférieure à 3 m2 ou que, située entre 3 et 4 m2,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précité consid. 2 et les références citées ; TF 1B_325/2017 précité ; TF 6B_456/2015 du 21 mars 2016 consid. 2.1). En principe, si la surface disponible est supérieure ou égale à 4 m2, les conditions de détention ne sont pas illicites.</w:t>
      </w:r>
    </w:p>
    <w:p>
      <w:r>
        <w:rPr>
          <w:b/>
        </w:rPr>
        <w:t>E. 2.4</w:t>
      </w:r>
    </w:p>
    <w:p>
      <w:r>
        <w:t>En l’espèce, il a déjà été définitivement constaté, par l’arrêt du 29 juillet 2019, que le recourant a bénéficié d’une surface individuelle nette – soit surface de la zone sanitaire, par 1.5 m2, déduite – de 4 m2, retreinte encore par le mobilier. Comme autres manquements, le recourant fait valoir l’absence d’une cloison autour des sanitaires, qui ne sont séparés du reste de la cellule que par un rideau ignifuge, ainsi que la durée de sa détention. Il est certes insatisfaisant que les sanitaires ne soient pas séparés du reste de la cellule par une cloison. Mais, contrairement à ce que plaide la défense, le recourant n’est pas contraint de faire ses besoins sous le regard d’autrui, puisqu’il peut le faire derrière un rideau. L’isolation phonique et olfactive ne serait pas grandement améliorée par une cloison telle qu’il en existe dans la plupart des toilettes publiques. Dans ce contexte, l’absence de cloison ne suffit dès lors pas à rendre les conditions de détention du recourant contraires aux art. 3 CEDH et 7 Cst. La durée de la détention subie par le recourant, qui est désormais de près de quinze mois, n’y change rien. Pour le surplus, le recourant n’allègue pas avoir été détenu dans des conditions contraires aux art. 17 à 22 RPE ou dans une température ambiante de 38°C. Il se borne à demander des mesures d’instruction afin de vérifier s’il n’aurait pas été détenu dans des</w:t>
      </w:r>
    </w:p>
    <w:p>
      <w:r>
        <w:t>- 11 - conditions contraires aux dispositions précitées et à faire valoir que « lorsqu’à l’extérieur des murs de la prison, il faisait 38°C et que la vente de ventilateurs battait son plein dans les commerces, on peut se demander quelle température il faisait dans [sa] cellule […] ». Or, le droit à une enquête effective et approfondie, qui découle de l’interdiction des traitements inhumains ou dégradants, n’existe qu’en cas d’allégation défendable d’un tel traitement (cf. ATF 138 IV 86 consid. 3.1.1 et les références citées). La procédure de constatation de l’illicéité des conditions de détention, qui met en œuvre le droit à une enquête effective et approfondie découlant des art. 3 CEDH et 7 Cst., n’a pas pour objet de vérifier, en l’absence d’un grief précis et formellement articulé, si, par hasard, les conditions dans lesquelles une personne est détenue pourraient contrevenir à l’une ou l’autre des exigences conventionnelles, constitutionnelles, légales ou réglementaires en lien avec l’interdiction des traitements inhumains ou dégradants ; cette procédure a exclusivement pour but d’instruire sur des griefs formellement articulés. Il n’y a dès lors pas lieu d’entrer en matière sur les réquisitions d’instruction tendant à vérifier si les conditions de détention du recourant contreviendraient ou non aux art. 17 à 22 RPE ou à établir la température, dont le recourant ne s’est du reste pas plaint, qu’il faisait dans la cellule de celui-ci cet été.</w:t>
      </w:r>
    </w:p>
    <w:p>
      <w:r>
        <w:rPr>
          <w:b/>
        </w:rPr>
        <w:t>E. 3</w:t>
      </w:r>
    </w:p>
    <w:p>
      <w:r>
        <w:t>Il s’ensuit que le recours, manifestement mal fondé, doit être rejeté dans la mesure où il est recevable, sans échange d’écritures (art. 390 al. 2 CPP), et l’ordonnance entreprise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(art. 3bis al. 1 RAJ [Règlement du 7 décembre 2010 sur l'assistance judiciaire en matière civile ; BLV 211.02.3], applicable par renvoi de l’art. 26b TFIP), par 7 fr. 20, plus la TVA, par 28 fr. 25, soit à 395 fr. 45 au total, seront mis à la charge du recourant, qui succombe (art. 428 al. 1 CPP).</w:t>
      </w:r>
    </w:p>
    <w:p>
      <w:r>
        <w:t>- 12 -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L’ordonnance du 7 octobre 2019 est confirmée. III. L’indemnité allouée au défenseur d’office de H.________ est fixée à 395 fr. 45 (trois cent nonante-cinq francs et quarante- cinq centimes). IV. Les frais d’arrêt, par 1’210 fr. (mille deux cent dix francs), ainsi que l’indemnité due au défenseur d’office de H.________, par 395 fr. 45 (trois cent nonante-cinq francs et quarante-cinq centimes), sont mis à la charge de ce dernier. V. Le remboursement à l’Etat de l’indemnité allouée au chiffre III ci-dessus ne sera exigible que pour autant que la situation financière de H.________ le permette. VI. L’arrêt est exécutoire. Le président : La greffière :</w:t>
      </w:r>
    </w:p>
    <w:p>
      <w:r>
        <w:t>- 13 - Du Le présent arrêt, dont la rédaction a été approuvée à huis clos, est notifié, par l'envoi d'une copie complète, à : - Me Regina Andrade Ortuno, avocate (pour H.________), - Ministère public central, et communiqué à : - Mme la Présidente du Tribunal des mesures de contrainte, - Mme la Procureure de l’arrondissement de Lausanne, - Tribunal criminel de l’arrondissement de la Broye et du Nord vaudois (réf. : PE18.013622), - Service pénitentiaire, par l’envoi de photocopies.</w:t>
      </w:r>
    </w:p>
    <w:p>
      <w:r>
        <w:t>- 14 - Le présent arrêt peut faire l'objet d'un recours en matière pénale devant le Tribunal fédéral au sens des art. 78 ss LTF.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