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P522.033754 vom 16. November 2023</w:t>
      </w:r>
    </w:p>
    <w:p>
      <w:r>
        <w:t>VD Tribunal cantonal, 2023-11-16, FR</w:t>
      </w:r>
    </w:p>
    <w:p>
      <w:r>
        <w:rPr>
          <w:b/>
        </w:rPr>
        <w:t xml:space="preserve">Quelle: </w:t>
      </w:r>
      <w:r>
        <w:t>https://mcp.opencaselaw.ch/entscheid/vd_gerichte_P522.033754</w:t>
      </w:r>
    </w:p>
    <w:p>
      <w:r>
        <w:t>FR: VD_GERICHTE P522.033754 du 16 novembre 2023</w:t>
      </w:r>
    </w:p>
    <w:p>
      <w:r>
        <w:t>IT: VD_GERICHTE P522.033754 del 16 novembre 2023</w:t>
      </w:r>
    </w:p>
    <w:p>
      <w:pPr>
        <w:pStyle w:val="Heading2"/>
      </w:pPr>
      <w:r>
        <w:t>Erwägungen</w:t>
      </w:r>
    </w:p>
    <w:p>
      <w:r>
        <w:rPr>
          <w:b/>
        </w:rPr>
        <w:t>E. 5</w:t>
      </w:r>
    </w:p>
    <w:p>
      <w:r>
        <w:t>Il s’ensuit que le recours, manifestement infondé, est rejeté en tant qu’il est recevable, conformément au mode procédural de l’art. 322 al. 1 CPC. Partant, le jugement entrepris est confirmé. Le présent arrêt sera rendu sans frais judiciaires de deuxième instance (art. 114 let. c CPC). Il ne sera pas alloué de dépens de deuxième instance, dès lors que l’intimée n’a pas été invitée à se déterminer. Par ces motifs, la Chambre des recours civile du Tribunal cantonal, en application de l'art. 322 al. 1 CPC, prononce : I. Le recours est rejeté en tant qu’il est recevable. II. Le jugement est confirmé. III. L’arrêt, rendu sans frais, est exécutoire.</w:t>
      </w:r>
    </w:p>
    <w:p>
      <w:r>
        <w:t>- 15 - La présidente : La greffière : Du L'arrêt qui précède, dont la rédaction a été approuvée à huis clos, est notifié à : - Me Louise Bonadio (pour I.________), - UNIA VAUD (pour W.________).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