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P521.017167 vom 28. November 2022</w:t>
      </w:r>
    </w:p>
    <w:p>
      <w:r>
        <w:t>VD Tribunal cantonal, 2022-11-28, FR</w:t>
      </w:r>
    </w:p>
    <w:p>
      <w:r>
        <w:rPr>
          <w:b/>
        </w:rPr>
        <w:t xml:space="preserve">Quelle: </w:t>
      </w:r>
      <w:r>
        <w:t>https://mcp.opencaselaw.ch/entscheid/vd_gerichte_P521.017167</w:t>
      </w:r>
    </w:p>
    <w:p>
      <w:r>
        <w:t>FR: VD_GERICHTE P521.017167 du 28 novembre 2022</w:t>
      </w:r>
    </w:p>
    <w:p>
      <w:r>
        <w:t>IT: VD_GERICHTE P521.017167 del 28 novembre 2022</w:t>
      </w:r>
    </w:p>
    <w:p>
      <w:pPr>
        <w:pStyle w:val="Heading2"/>
      </w:pPr>
      <w:r>
        <w:t>Erwägungen</w:t>
      </w:r>
    </w:p>
    <w:p>
      <w:r>
        <w:rPr>
          <w:b/>
        </w:rPr>
        <w:t>E. 3</w:t>
      </w:r>
    </w:p>
    <w:p>
      <w:r>
        <w:t>La recourante se réfère aux faits retenus par le jugement de première instance. Elle fournit toutefois quelques précisions et compléments à celui-ci. L’état de fait a été complété par le détail du salaire prévu par le contrat de travail conclu par les parties, dûment produit au dossier de première instance (cf. pièce 1). Celui-ci fait état d’un salaire de base de 16 fr. 10 et d’indemnités pour jours fériés de 3,2%, par 0 fr. 52, pour vacances de 8,33%, par 1 fr. 38, et pour le treizième salaire de 1 fr. 50. Pour le reste, les autres précisions apportées à l’état de fait ne sont pas nécessaires à la résolution du présent litige, de sorte qu’il n’en sera pas tenu compte. Enfin, les déclarations faites par les témoins devant l’autorité de première instance ont été protocolées au procès-verbal. Elles ont été reprises dans l’état de fait dans la mesure où elles sont pertinentes pour la compréhension de la présente cause.</w:t>
      </w:r>
    </w:p>
    <w:p>
      <w:r>
        <w:rPr>
          <w:b/>
        </w:rPr>
        <w:t>E. 4</w:t>
      </w:r>
    </w:p>
    <w:p>
      <w:r>
        <w:t>La recourante invoque une constatation manifestement inexacte des faits.</w:t>
      </w:r>
    </w:p>
    <w:p>
      <w:r>
        <w:t>- 9 - Elle estime tout d’abord que les premiers juges se seraient fondés à tort sur les témoignages de [...] et [...]. Elle considère que ces moyens de preuve ne seraient pas pertinents, dès lors que les prénommés ont tous deux affirmé qu’ils n’avaient pas participé aux négociations ayant abouti à l’adoption de l’art. 3 CCT-LSE dans sa version de 2012. La question de la pertinence des témoignages des intéressés relève de l’appréciation des preuves et sera, le cas échéant, examinée dans les moyens juridiques de la recourante. Celle-ci estime en outre que l’autorité de première instance aurait omis de mentionner – et de retenir –, l’avis de la commission tripartite du 5 août 2021. Comme on l’a vu ci-dessus (cf. consid. 3 supra), la mention de cet avis n’est pas nécessaire à la résolution du présent litige, de sorte qu’il n’y a pas lieu de le prendre en considération.</w:t>
      </w:r>
    </w:p>
    <w:p>
      <w:r>
        <w:rPr>
          <w:b/>
        </w:rPr>
        <w:t>E. 5.1</w:t>
      </w:r>
    </w:p>
    <w:p>
      <w:r>
        <w:t>La recourante invoque une violation des art. 322 al. 1 et 357 al. 2 CO. Elle considère que, selon l’art. 3 al. 3 CCT-LSE, ainsi que du commentaire de cette CCT, l’intimée, en qualité d’entreprise locataire de service, aurait dû respecter les salaires usuels de la branche dans laquelle elle a travaillé, soit l’industrie chimique ou pharmaceutique. Elle fait valoir que le Tribunal de prud’hommes de l’arrondisse-ment de la Broye et du Nord vaudois a donné raison à des travailleurs sur cette question dans ses jugements des 22 mars 2019 et 8 juin 2022. Elle ajoute que la décision des premiers juges serait en contradiction avec le principe voulu par les parties à la CCT, à savoir la lutte contre la sous-enchère salariale et la concurrence déloyale. L’intimée considère pour sa part que le texte de la CCT serait clair et exclurait l’application de salaires minimaux dans la branche de l’industrie chimique ou pharmaceutique, puisque, dans ces branches, les salaires seraient généralement plus élevés. Elle expose que l’interprétation historique des normes concernées de la CCT irait dans le même sens.</w:t>
      </w:r>
    </w:p>
    <w:p>
      <w:r>
        <w:t>- 10 -</w:t>
      </w:r>
    </w:p>
    <w:p>
      <w:r>
        <w:rPr>
          <w:b/>
        </w:rPr>
        <w:t>E. 5.2.1</w:t>
      </w:r>
    </w:p>
    <w:p>
      <w:r>
        <w:t>Aux termes de l’art. 322 al. 1 CO, l’employeur paie au travailleur le salaire convenu, usuel ou fixé par un contrat-type de travail ou par une convention collective, cette disposition étant toutefois de droit dispositif (non soumise à l’art. 341 CO ; ATF 124 II 436 consid. 10e/aa). Selon l’art. 357 al. 2 CO, quand les parties sont soumises, de quelque manière que ce soit, à une convention collective prévoyant des salaires minimaux, elles ne sauraient valablement convenir d’un salaire inférieur. Si le salaire convenu par contrat individuel est inférieur à celui prescrit par la CCT, ce dernier remplacera le salaire convenu (TF 17 octobre 1996, JAR 1997 116 ; Wyler/Heinzer, Droit du travail, 4e éd., Berne 2019, p. 185).</w:t>
      </w:r>
    </w:p>
    <w:p>
      <w:r>
        <w:rPr>
          <w:b/>
        </w:rPr>
        <w:t>E. 5.2.2</w:t>
      </w:r>
    </w:p>
    <w:p>
      <w:r>
        <w:t>La location de services fait l’objet de la CCT-LSE, étendue à l’ensemble du territoire suisse, applicable à toutes les entreprises qui sont titulaires d’une autorisation de location de services fédérale ou cantonale conformément à la LSE et dont l’activité principale est la location de services (arrêté du Conseil fédéral étendant le champ d’application de la convention collective de travail de la branche du travail temporaire du 13 décembre 2011, FF 2011 8459, tel que modifié par les arrêtés du Conseil fédéral des 20 juin 2013 [FF 2013 5561], 11 décembre 2014 [FF 2014 9509], 23 octobre 2015 [FF 2015 7897], 29 mars 2016 [FF 2016 3267], 17 novembre 2017 [FF 2017 7397], 12 décembre 2018 [FF 2018 7753], 15 février 2021 [FF 2021 263] et 25 mai 2021 [FF 2021 13370]). Lorsqu’une entreprise locataire de services est soumise à une CCT avec déclaration d’extension, le bailleur de services doit appliquer au travailleur les dispositions de la convention qui concernent le salaire et la durée du travail (art. 20 LSE). Cette obligation s’étend notamment au salaire minimal, à la compensation des vacances prorata temporis, au treizième salaire prorata temporis ainsi qu’aux jours fériés payés (art. 48a OSE [ordonnance sur le service de l’emploi et la location de services du 6 janvier 1991 ; RS 823.11]).</w:t>
      </w:r>
    </w:p>
    <w:p>
      <w:r>
        <w:t>- 11 - De manière à assurer la coordination avec les art. 20 LSE et 48a OSE, l’art. 3 al. 1 CCT-LSE prévoit qu’en particulier, lorsque l’entreprise locataire est soumise à une CCT étendue, elle reprend, à l’exclusion de ses propres dispositions, celles concernant les salaires et la durée du travail de la CCT étendue applicable dans l’entreprise locataire de services, étant précisé que le même dispositif d’intégration est prévu pour un certain nombre de CCT non étendues faisant l’objet d’une énumération (CREC 29 septembre 2022/228 consid. 4.2.2 et la référence citée). Dans les entreprises locataires de services dotées de conventions collectives de travail non étendues, les dispositions de la CCT- LSE s’appliquent dans leur intégralité. Selon l’art. 3 al. 3 CCT-LSE, les dispositions portant sur les salaires minimaux selon l’art. 20 CCT-LSE sont exclues de ce champ d’application dans les entreprises de l’industrie chimique et pharmaceutique, de l’industrie des machines, de l’industrie graphique, de l’industrie horlogère, de l’industrie alimentaire et des produits de luxe ainsi que dans les entreprises de transports publics. Le Commentaire de la CCT-LSE (cf. www.tempservice.ch) précise que cette exclusion est convenue du fait que dans les branches précitées, les salaires minimaux usuels en fonction de la localité et de la branche sont supérieurs à ceux fixés à l’art. 20 CCT-LSE. Selon le commentaire, il convient dans ce cas d’appliquer le salaire usuel en fonction de la branche et de la localité, fixé, d’une part, sur une base statistique et, d’autre part, par des enquêtes ad hoc de la commission tripartite cantonale. Néanmoins, lorsque le salaire d’usage – soit généralement défini par le quartile inférieur du calculateur en ligne du canton de Vaud – est nettement plus élevé que celui prévu par l’art. 20 CCT-LSE, la commission tripartite peut valider le fait que le salaire en usage pour les travailleurs temporaires est le salaire minimal défini par la CCT-LSE.</w:t>
      </w:r>
    </w:p>
    <w:p>
      <w:r>
        <w:rPr>
          <w:b/>
        </w:rPr>
        <w:t>E. 5.2.3</w:t>
      </w:r>
    </w:p>
    <w:p>
      <w:r>
        <w:t>Selon la jurisprudence, les clauses d’une convention collective ayant un effet direct et impératif sur les contrats individuels entre</w:t>
      </w:r>
    </w:p>
    <w:p>
      <w:r>
        <w:t>- 12 - employeurs et employés qu’elles lient (cf. art. 357 al. 1 CO) sont dites clauses normatives (TF 4A_467/2016 du 8 février 2017 consid. 3.2). Elles s’interprètent de la même manière qu’une loi (ATF 136 III 283 consid. 2.3.1). Tel est en particulier le cas des clauses définissant à quelle catégorie de travailleurs s’applique la convention collective (TF 4A_467/2016 du 8 février 2017 consid. 3.2).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 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w:t>
      </w:r>
    </w:p>
    <w:p>
      <w:r>
        <w:rPr>
          <w:b/>
        </w:rPr>
        <w:t>E. 5.2.4</w:t>
      </w:r>
    </w:p>
    <w:p>
      <w:r>
        <w:t>Dans un arrêt récent, rendu dans une cause portant sur des faits simi-laires, à savoir une employée travaillant dans le cadre d’un contrat de mission dans une branche dont les dispositions portant sur les salaires minimaux au sens de l’art. 20 CCT-LES sont exclues du champ d’application, l’autorité de céans a admis que le commentaire de la CCT- LSE constituait une base d’interprétation pertinente de l’art. 3 al. 3 CCT- LSE (CREC 29 septembre 2022/228 consid. 4.4). A cet égard, elle a indiqué qu’il ressortait expressément de ce commentaire, au sujet de cette dis- position, qu’à la suite de l’énumération des entreprises exemptées des dispositions en matière de salaires minimums conformément à l’art. 20 CCT, que les commis-sions tripartites cantonales participaient à la fixation</w:t>
      </w:r>
    </w:p>
    <w:p>
      <w:r>
        <w:t>- 13 - des salaires usuels du lieu et de la branche (CREC 29 septembre 2022/228 consid. 4.4). Elle a ajouté qu’il était fait référence, dans le tableau qui figurait dans le commentaire relatif à l’art. 3 al. 3 CCT-LSE, aux salaires usuels de la localité ou de la branche concernée pour les entreprises exclues du salaire minimum prévu conventionnellement, qu’il n’était pas anodin de constater que plusieurs documents édités par l’association patronale [...] contenaient des tableaux similaires et que cela venait renforcer l’inter-prétation de la CCT-LSE selon laquelle le salaire brut du travailleur devait être fixé en fonction du salaire usuel de la branche et de la localité (CREC 29 septembre 2022/228 consid. 4.3 et 4.4).</w:t>
      </w:r>
    </w:p>
    <w:p>
      <w:r>
        <w:rPr>
          <w:b/>
        </w:rPr>
        <w:t>E. 5.3</w:t>
      </w:r>
    </w:p>
    <w:p>
      <w:r>
        <w:t>En l’espèce, il y a lieu de suivre l’interprétation effectuée par l’autorité de céans au sujet de l’art. 3 al. 3 CCT-LSE. La recourante a en l’occurrence travaillé pour le compte d’une entreprise locataire de service en étant placée au sein d’une société œuvrant dans l’industrie pharmaceutique, à laquelle l’art. 20 CCT-LSE, qui porte sur les salaires minimaux, ne s’applique pas. Selon l’interprétation décrite ci-dessus et le commentaire de la CCT-LSE, l’intimée devait donc fixer le salaire de la recourante selon le salaire usuel de la branche et en fonction de la localité. Les déclarations des témoins entendus par l’autorité de première instance ne sauraient pour leur part être suivis et prévaloir sur le commentaire de la CCT-LSE. Il ne s’agit en effet que de deux avis. De plus, selon leurs propres déclarations, aucun d’eux n’a participé aux négociations concernant l’adoption de l’art. 3 al. 3 CCT-LSE dans sa version du 12 décembre 2018, applicable à la présente cause. Ainsi, c’est à tort que les premiers juges ont considéré que le salaire usuel de la branche n’avait pas force obligatoire et que le salaire de la recourante pouvait être fixé librement par les parties dans le contrat de travail. La recourante a évalué le salaire usuel brut de la branche sur la base du calculateur de salaire de la Confédération suisse à 5’450 fr., ce qui correspond, versé treize fois l’an, à 5’030 fr. 75 ([5’450 fr. x 12] : 13), à savoir à un salaire horaire brut de 29 fr. 05 (5’030 fr. 75 : 4,33 [semaine/mois] : 40 [heures hebdomadaires]). Ce montant, qui n’est pas contesté par l’intimée, correspond pour l’essentiel à ce que pourrait</w:t>
      </w:r>
    </w:p>
    <w:p>
      <w:r>
        <w:t>- 14 - percevoir, selon le calculateur précité, une personne d’origine étrangère, âgée du même âge que l’intéressée, sans formation ni expérience professionnelle, et travaillant dans l’industrie chimique ou pharmaceutique en qualité d’ouvrière dans la région lémanique. Selon le calcul de la recourante, celle-ci aurait dès lors dû percevoir un salaire brut total, pour les 230 heures qu’elle a effectuées, en prenant en compte les indemnités pour jours fériés (3,2%), pour les vacances (8,33%) et pour le treizième salaire (9,31%), de 8’073 fr. 90 ([29 fr. 05 + 20,84%] x 230), étant précisé que le calcul de l’intéressée semble contenir une erreur, dès lors qu’elle parvient à un montant de 8’093 fr. 70. Ainsi, la recourante ayant, selon elle, perçu un salaire brut de 4’484 fr. 30 pour l’ensemble de son activité, elle a encore droit à une somme brute de 3’589 fr. 60 (8’073 fr. 90 - 4’484 fr. 30) à ce titre. L’intimée n’a pas contesté le montant allégué par la recourante dans son recours, ni le calcul de celle-ci, de sorte qu’elle devra verser à cette dernière la somme précitée, qui paraît correcte, avec intérêts à 5% l’an dès le 15 août 2020, à savoir la date du lendemain de la fin des rapports de travail, pour la différence de salaire impayée.</w:t>
      </w:r>
    </w:p>
    <w:p>
      <w:r>
        <w:rPr>
          <w:b/>
        </w:rPr>
        <w:t>E. 6</w:t>
      </w:r>
    </w:p>
    <w:p>
      <w:r>
        <w:t>En définitive, le recours est admis et le jugement querellé réformé. Il est statué à nouveau en ce sens que l’intimée doit verser à la recourante la somme brute de 3’589 fr. 60, avec intérêts à 5% l’an dès le 15 août 2020, et qu’elle est sa débitrice de la somme de 1’300 fr. à titre de dépens de première instance. Il n’est pas perçu de frais judiciaires de deuxième instance (art. 114 let. c CPC). La recourante devra verser à l’intimée la somme de 1’300 fr. à titre de dépens de deuxième instance (art. 7 TDC [tarif des dépens en matière civile du 23 novembre 2010 ; BLV 270.11.6]), le [...] devant être considéré comme un mandataire professionnellement qualifié au sens de l’art. 68 al. 2 let. d CPC (ATF 122 V 278 consid. 3e/aa ; CACI 23 mars 2018/190 consid. 5) pouvant représenter les parties devant les tribunaux de prud’hommes selon l’art. 36 CDPJ (Code de droit privé judiciaire vaudois du 12 janvier 2010 ; BLV 211.02).</w:t>
      </w:r>
    </w:p>
    <w:p>
      <w:r>
        <w:t>- 15 - Par ces motifs, la Chambre des recours civile du Tribunal cantonal, prononce : I. Le recours est admis. II. Le jugement est réformé. III. Il est statué à nouveau comme il suit : I. La demande déposée le 21 avril 2021 par R.________ est admise. II. S.________ est condamnée à verser à R.________ le montant brut de 3’589 fr. 60 (trois mille cinq cent huitante-neuf francs est soixante centimes), avec intérêts à 5% l’an dès le 15 août 2020. III. S.________ est la débitrice de R.________ de la somme de 1’300 fr. (mille trois cents francs) à titre de dépens. IV. Le présent jugement est rendu sans frais. V. Toutes autres ou plus amples conclusions sont rejetées. IV. L’intimée S.________ doit verser à la recourante R.________ la somme de 1’300 fr. (mille trois cents francs) à titre de dépens de deuxième instance. V. L’arrêt, rendu sans frais judiciaires, est exécutoire.</w:t>
      </w:r>
    </w:p>
    <w:p>
      <w:r>
        <w:t>- 16 - Le président : Le greffier : Du L’arrêt qui précède, dont la rédaction a été approuvée à huis clos, est notifié à : - [...] (pour R.________), - Me José Zilla, avocat (pour S.________).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