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P324.058052 vom 16. Februar 2026</w:t>
      </w:r>
    </w:p>
    <w:p>
      <w:r>
        <w:t>VD Tribunal cantonal, 2026-02-16, FR</w:t>
      </w:r>
    </w:p>
    <w:p>
      <w:r>
        <w:rPr>
          <w:b/>
        </w:rPr>
        <w:t xml:space="preserve">Quelle: </w:t>
      </w:r>
      <w:r>
        <w:t>https://mcp.opencaselaw.ch/entscheid/vd_gerichte_P324.058052</w:t>
      </w:r>
    </w:p>
    <w:p>
      <w:r>
        <w:t>FR: VD_GERICHTE P324.058052 du 16 février 2026</w:t>
      </w:r>
    </w:p>
    <w:p>
      <w:r>
        <w:t>IT: VD_GERICHTE P324.058052 del 16 febbraio 2026</w:t>
      </w:r>
    </w:p>
    <w:p>
      <w:pPr>
        <w:pStyle w:val="Heading2"/>
      </w:pPr>
      <w:r>
        <w:t>Erwägungen</w:t>
      </w:r>
    </w:p>
    <w:p>
      <w:r>
        <w:rPr>
          <w:b/>
        </w:rPr>
        <w:t>E. 28</w:t>
      </w:r>
    </w:p>
    <w:p>
      <w:r>
        <w:t>sur l’annonce du cas et le montant desdites indemnités. En aucun cas, on ne saurait tirer de ces éléments que les parties auraient admis l’existence d’un régime dérogatoire, admission qui se serait imposée aux premiers juges. Il n’en va pas différemment du simple versement des indemnités qui est insuffisant à démontrer à lui seul l’existence d’un tel régime. Il s’ensuit que le grief, pour autant que suffisamment motivé, est mal fondé. 19J010</w:t>
      </w:r>
    </w:p>
    <w:p>
      <w:r>
        <w:t>- 20 - 3.5.3 II reste donc à examiner si le comportement des parties, tel que ressortant des faits du jugement attaqué, pourrait permettre de retenir l'existence d'un accord sur la mise en place d'un régime dérogatoire. L'appelant invoque tout d'abord qu'il ressortirait des allégations des parties et des pièces produites qu'il se serait trouvé en incapacité de travail totale de travail dès le 14 janvier 2020 et qu'à compter du mois d'avril 2020 ce serait l'assurance perte de gain qui lui aurait versé directement des indemnités journalières, ceci jusqu'au 17 juin 2021. Ces faits ressortent en effet du jugement attaqué. Par ailleurs, l’appelant se prévaut du fait que les parties auraient exécuté le contrat d'assurance puisqu'il aurait contribué par moitié au paiement des primes et que le cas aurait été annoncé à l'assurance le 15 janvier 2020, pour un taux d'activité de 80 % et un salaire assuré à hauteur de 46'956 fr. par an. Ces éléments ressortent également du jugement attaqué, ce qui n'est pas le cas des montants des indemnités journalières dont l’appelant fait état, par 3'087 fr., respectivement 3'189 fr. 90. S'il se réfère à des pièces sur ce point, il ne soutient pas avoir allégué ces faits et ne développe aucun grief motivé de constatation inexacte des faits. L'appelant peut être suivi sur le fait que les parties ont non seulement prévu qu'une assurance serait conclue par l'intimée mais également sur le fait que cette assurance a été conclue, qu'il a contribué à la moitié des primes et que des prestations lui ont été versées. On peut admettre qu'il est également établi que l'assureur a versé à l'appelant des indemnités à hauteur de 80 % de son salaire contractuel. Cependant, comme on l'a déjà évoqué plus haut, les autres modalités du régime d'assurance prévu ne ressortent pas du jugement attaqué, ni d'ailleurs du dossier, ni la police d'assurance ni les conditions générales d'assurance n'y figurant. En particulier, la durée maximale de ses prestations est inconnue, contrairement à ce que paraît soutenir l’appelant. On ne sait dès lors pas si des indemnités devaient bien être versées durant 720 jours au maximum sur une période de 900 jours, étant précisé que les indemnités versées du 1er avril 2020 au 17 juin 2021 ne le confirment pas, la période couverte 19J010</w:t>
      </w:r>
    </w:p>
    <w:p>
      <w:r>
        <w:t>- 21 - correspondant environ à 317 indemnités-journalières. Enfin, l'éventuel délai de carence n'est pas connu. Or, pour déterminer si l'on est en présence d'un régime dérogatoire correspondant aux exigences de l'art. 324a al. 4 CO, le tribunal doit pouvoir évaluer les conditions de l'accord entre l'employeur et l’employé, ce qui n'est pas possible en l'espèce. Seul le régime légal était donc applicable. L'appelant ne faisant valoir aucune prétention sur cette base, les griefs ne peuvent qu'être rejetés. 3.5.4 L'appelant fait encore valoir que si l'on devait admettre que l'accord ne serait pas valable, la position de l'intimée faisant valoir cette invalidité serait constitutive d'un abus de droit. En réalité, ce grief se confond avec ceux examinés plus haut, l’appelant ne faisant que réaffirmer que le déroulement des événements soutiendrait sa thèse. Le grief est donc mal fondé. 4. 4.1 L'appelant se plaint encore d'une violation de l'art. 5 al. 2 LAVS (loi fédérale du 20 décembre 1946 sur l'assurance-vieillesse et survivants ; RS 831. 10). 4.2 L’intimée soutient que la définition de salaire déterminant au sens de la LAVS n’est pas décisive pour déterminer le salaire assuré dans le cadre d’une assurance perte de gain maladie, le but et le fonctionnement des deux assurances n’étant pas les mêmes. 4.3 Les premiers juges ont considéré que l’appelant n'avait pas démontré en quoi les heures supplémentaires devaient faire partie du salaire assuré. Celles-ci ne devant être effectuées qu'à la condition de leur nécessité, on ne pouvait leur conférer par nature un caractère régulier justifiant qu'elles fassent partie intégrante du salaire. A leur sens, constituerait un salaire toute rémunération promise contractuellement dans 19J010</w:t>
      </w:r>
    </w:p>
    <w:p>
      <w:r>
        <w:t>- 22 - son principe et dont le montant est déterminé ou objectivement déterminable, sur la base de critères objectifs convenus et prédéterminés, sans dépendre de l'appréciation de l'employeur. Cette solution serait par ailleurs conforme à l'art. 5 al. 2 LAVS qui ne prévoirait pas que d'éventuelles indemnités pour heures supplémentaires fassent partie du salaire déterminant. En outre, le tribunal a retenu que le contrat de travail du 23 mars 2018 prévoyait que les heures supplémentaires étaient compensées en congé, sans compter qu'il n'était pas possible à l'intimée d'adapter le salaire contractuel pour tenir compte des heures supplémentaires. La période pertinente pour déterminer les heures serait à leur sens impossible à déterminer. 4.4 4.4.1 Aux termes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L'art. 7 let. a RAVS (règlement du 31 octobre 1947 sur l'assurance-vieillesse et survivants ; RS 831. 101) précise que le salaire déterminant pour le calcul des cotisations comprend notamment le salaire au temps, aux pièces (à la tâche) et à la prime, y compris les indemnités pour les heures supplémentaires, le travail de nuit et en remplacement. 4.4.2 Comme déjà évoqué, dans le régime légal, l'employeur verse le salaire « pour un temps limité » (al. 1), c'est-à-dire trois semaines pendant la première année de service et, ensuite, pour une période plus longue fixée équitablement, en fonction de la durée des rapports de travail et des circonstances particulières (al. 2). Le régime de base offre à la personne salariée la couverture du 100 % de son salaire dès le premier jour d'incapacité de travail sans délai de carence, cela pour une période limitée. 19J010</w:t>
      </w:r>
    </w:p>
    <w:p>
      <w:r>
        <w:t>- 23 - La notion de salaire au sens de cette disposition comprend, outre le salaire fixe, tous les éléments régulièrement versés (Wyler/Heinzer/Witzig, op. cit., p. 305 ; Portmann/Rudolph, Basler Kommentar, Obligationenrecht l, 7ème éd., Bâle 2020, n. 12 ad art. 324a CO). Cela comprend le treizième salaire (s'il est payé mensuellement), les allocations familiales, les augmentations de salaire, les majorations légales ou contractuelles dues pour le travail de nuit ou du dimanche, les prestations en nature, les provisions, une éventuelle participation au résultat et les primes d'encouragement, ainsi que les frais fixes (cf. sur ces éléments, Wyler/Heinzer/Witzig, loc. cit. ; Longchamp, in Commentaire du contrat de travail, 2ème éd., Berne 2022 ; Portmann/Rudolph, loc. cit. ; Caruzzo, Le contrat individuel de travail, Zurich/Bâle/Genève 2009, pp. 205- 206). 4.5 4.5.1 L'appelant se réfère à l'art. 7 let. a RAVS pour faire admettre que les heures supplémentaires font partie du salaire déterminant, notion qui serait essentielle car elle servirait de base à la perception des autres cotisations des assurances sociales. En outre, la nécessité en l'espèce de l'accomplissement des heures supplémentaires ayant été reconnues par jugement – confirmé par le Tribunal fédéral – l'argument des premiers juges tendant à exclure ces montants du salaire cotisant serait mal fondé. L'appelant indique également que le contrat du 23 mars 2018 n'avait que pour but de respecter les conditions légales applicables aux travailleurs étrangers en Suisse, si bien que l'on pourrait s'interroger sur le fait que les</w:t>
      </w:r>
    </w:p>
    <w:p>
      <w:r>
        <w:rPr>
          <w:b/>
        </w:rPr>
        <w:t>E. 30</w:t>
      </w:r>
    </w:p>
    <w:p>
      <w:r>
        <w:t>heures hebdomadaires prévues correspondaient à la volonté de l'employeur quant au temps réel de travail demandé de l’employé, les heures supplémentaires constituant ainsi une sorte de salaire dissimulé. Encore, l’appelant considère que l'appréciation des premiers juges relative au fait que le contrat précité prévoyait expressément la compensation des heures supplémentaires en congé ne saurait être admise dans la mesure où il était en incapacité de travail lors de la période litigieuse. 19J010</w:t>
      </w:r>
    </w:p>
    <w:p>
      <w:r>
        <w:t>- 24 - Dans ses observations du 15 décembre 2025, l’appelant complète ce dernier grief en se référant au jugement du Tribunal des prud'hommes du 24 mai 2022. Il veut voir la preuve que l'horaire prévu serait insuffisant dans le fait que son salaire hebdomadaire aurait diminué. 4.5.2 II convient de donner raison à l’appelant sur le fait que c'est à tort que les premiers juges ont considéré que les heures supplémentaires n'entraient pas dans le salaire déterminant au sens de l'art. 5 al. 2 LAVS. En effet, l'art. 7 let. a RAVS intègre expressément les montants versés à ce titre. Cela ne signifie pas encore qu'il conviendrait de faire droit aux prétentions de l’appelant dans la mesure où il n'est aucunement évident que le salaire assuré en perte de gain maladie corresponde au salaire déterminant LAVS. A ce titre, l’appelant n'offre aucune démonstration que tel serait en l'espèce le cas. Il se contente de l'affirmer sans développer un raisonnement permettant de mettre en relation la notion de salaire déterminant LAVS avec celle de salaire au sens de l'art. 324a CO. Pour le déterminer, il conviendrait de pouvoir se référer aux éléments convenus dans le cadre de la conclusion de l'assurance perte de gain litigieuse. Or, comme on l'a déjà évoqué plus haut, ni le contrat d'assurance perte de gain maladie ni les conditions générales applicables n'ont été produites. Dans ces conditions, il n'est pas possible à la Cour de céans de déterminer quels étaient les éléments devant être assurés. Par surabondance, une comparaison avec le système légal ne permettrait pas plus de faire droit aux prétentions de l’appelant. En effet, il ressort de la doctrine que seuls les éléments de salaire régulièrement versés peuvent être pris en compte pour déterminer, dans le régime légal, le salaire dû pendant la période d'incapacité. Or, en l'espèce, l’appelant n'allègue ni ne démontre que les heures supplémentaires correspondraient à un tel élément de salaire. S'il évoque que l'horaire de travail convenu ne correspondait pas à la volonté de l'employeur, il ne démontre aucunement que tel serait le cas. En effet, il omet que si le Tribunal de prud'hommes a retenu dans son jugement du 24 mai 2022 que l'horaire contractuel prévu 19J010</w:t>
      </w:r>
    </w:p>
    <w:p>
      <w:r>
        <w:t>- 25 - dans le contrat du 23 mars 2018 n'était pas suffisant pour accomplir les tâches incombant à l’appelant, il n'en a pas tiré d'autres conclusions que l'utilité pour l'employeur des heures effectuées. En revanche, dans l'arrêt CACI 30 janvier 2023/41 consid. 7.3, la Cour de céans a retenu que l'interprétation du contrat ne permettait justement pas d'admettre que l'horaire de travail convenu était supérieur aux 30 heures indiquées dans le contrat, élément sur lequel l’appelant ne revient pas et qui suffit à sceller le sort de son grief. En tous les cas, il ressort du jugement du 24 mai 2022 que l’appelant n'a pas effectué des heures supplémentaires chaque semaine que ce soit en 2018 ou en 2019. On ne saurait ainsi admettre qu'elles correspondraient ainsi à des éléments de salaire usuellement versés. Dans ces conditions, les moyens de l’appelant ne sauraient prospérer. 5. Au vu de ce qui précède, il peut être renoncé à statuer sur le grief formulé par l’appelant visant à compléter l'état de fait sur base d'éléments figurant dans le jugement du Tribunal de prud'hommes du 24 mai 2022, respectivement sur les arguments développés par l'intimée en lien avec l'art. 97 CO. 6. 6.1 Partant, l’appel, manifestement mal fondé, doit être rejeté dans la mesure de sa recevabilité selon le mode procédural de l’art. 312 al. 1 in fine CPC et le jugement entrepris confirmé. 6.2 L’arrêt est rendu sans frais judiciaires de deuxième instance (art. 114 let. c CPC). 6.3 Les dépens de deuxième instance peuvent être arrêtés, compte tenu de l’ampleur et de la difficulté de la cause, à 2'000 fr. (art. 3 al. 1, 7 al. 1 et 19 al. 2 TDC [tarif des dépens en matière civile du 23 novembre 2010 ; 19J010</w:t>
      </w:r>
    </w:p>
    <w:p>
      <w:r>
        <w:t>- 26 - BLV 270.11.6]). L’appelant versera à l’intimée la somme de 2'000 fr. à l’appelante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