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P324.055197 vom 23. April 2025</w:t>
      </w:r>
    </w:p>
    <w:p>
      <w:r>
        <w:t>VD Tribunal cantonal, 2025-04-23, FR</w:t>
      </w:r>
    </w:p>
    <w:p>
      <w:r>
        <w:rPr>
          <w:b/>
        </w:rPr>
        <w:t xml:space="preserve">Quelle: </w:t>
      </w:r>
      <w:r>
        <w:t>https://mcp.opencaselaw.ch/entscheid/vd_gerichte_P324.055197</w:t>
      </w:r>
    </w:p>
    <w:p>
      <w:r>
        <w:t>FR: VD_GERICHTE P324.055197 du 23 avril 2025</w:t>
      </w:r>
    </w:p>
    <w:p>
      <w:r>
        <w:t>IT: VD_GERICHTE P324.055197 del 23 aprile 2025</w:t>
      </w:r>
    </w:p>
    <w:p>
      <w:pPr>
        <w:pStyle w:val="Heading2"/>
      </w:pPr>
      <w:r>
        <w:t>Erwägungen</w:t>
      </w:r>
    </w:p>
    <w:p>
      <w:r>
        <w:rPr>
          <w:b/>
        </w:rPr>
        <w:t>E. 1</w:t>
      </w:r>
    </w:p>
    <w:p>
      <w:r>
        <w:t>Le 26 novembre 2024, O.________ a déposé une demande simplifiée (art. 244 CPC [Code de procédure civile du 19 décembre 2008 ; RS 272]) à l’encontre de [...] auprès du Tribunal de prud’hommes de l’arrondissement de Lausanne.</w:t>
      </w:r>
    </w:p>
    <w:p>
      <w:r>
        <w:rPr>
          <w:b/>
        </w:rPr>
        <w:t>E. 2.1</w:t>
      </w:r>
    </w:p>
    <w:p>
      <w:r>
        <w:t>Le 12 février 2025, le Président du Tribunal de prud’hommes de l’arrondissement de Lausanne (ci-après : le président) a pris acte, en date du 9 septembre 2024, de la faillite de [...] et a suspendu le procès en application de l’art. 207 LP (loi fédérale sur la poursuite pour dettes et la faillite du 11 avril 1889 ; RS 281.1). Dans sa décision, le président a retenu qu’aucune des exceptions mentionnées par l’art. 207 LP n’étaient réalisées en l’espèce, et que le procès ne serait repris qu’après décision de la masse en faillite sur son éventuelle continuation.</w:t>
      </w:r>
    </w:p>
    <w:p>
      <w:r>
        <w:rPr>
          <w:b/>
        </w:rPr>
        <w:t>E. 2.2</w:t>
      </w:r>
    </w:p>
    <w:p>
      <w:r>
        <w:t>La décision susmentionnée a été adressée pour notification à O.________ par envoi recommandé du 17 février 2025. Selon le suivi des notifications de la Poste, le susnommé n’a pas retiré le pli en question.</w:t>
      </w:r>
    </w:p>
    <w:p>
      <w:r>
        <w:rPr>
          <w:b/>
        </w:rPr>
        <w:t>E. 2.3</w:t>
      </w:r>
    </w:p>
    <w:p>
      <w:r>
        <w:t>Par courrier du 4 mars 2025, le président a rappelé à O.________ qu’il n’avait pas retiré le pli contenant la décision susmentionnée, et que celle-ci serait considérée comme valablement notifiée à l’échéance du délai de garde postal, conformément à l’art. 138 al. 3 let. a CPC.</w:t>
      </w:r>
    </w:p>
    <w:p>
      <w:r>
        <w:rPr>
          <w:b/>
        </w:rPr>
        <w:t>E. 3</w:t>
      </w:r>
    </w:p>
    <w:p>
      <w:r>
        <w:t>Par acte daté du 12 mars 2025, déposé le 13 mars 2025, O.________ (ci-après : le recourant) a formé recours contre la décision du 12 février 2025, en concluant implicitement à ce que « sa créance soit inscrite à l’état de collocation dans la faillite de [...]».</w:t>
      </w:r>
    </w:p>
    <w:p>
      <w:r>
        <w:t>- 3 -</w:t>
      </w:r>
    </w:p>
    <w:p>
      <w:r>
        <w:rPr>
          <w:b/>
        </w:rPr>
        <w:t>E. 4.1</w:t>
      </w:r>
    </w:p>
    <w:p>
      <w:r>
        <w:t>Aux termes de l’art. 319 CPC,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Le recours, écrit et motivé, doit être introduit auprès de l’instance de recours (art. 321 al. 1 CPC), soit la Chambre des recours civile (art. 73 al. 1 LOJV [loi vaudoise d’organisation judiciaire du 12 décembre 1979 ; BLV 173.01]). Le délai est de dix jours pour les décisions prises en procédure sommaire, ainsi que les autres décisions et ordonnances d’instruction de première instance, à moins que la loi n’en dispose autrement (art. 321 al. 2 CPC).</w:t>
      </w:r>
    </w:p>
    <w:p>
      <w:r>
        <w:rPr>
          <w:b/>
        </w:rPr>
        <w:t>E. 4.2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w:t>
      </w:r>
    </w:p>
    <w:p>
      <w:r>
        <w:t>- 4 - consid. 1.1.2 et réf. cit. ; TF 5A_20/2023 du 20 avril 2023 consid. 5.2), une demande de garde du courrier ne constituant pas une mesure suffisante (ATF 141 II 429 consid. 3.1 ; TF 4A_2/2024 du 17 janvier 2024 consid. 3.1 ; TF 5A_790/2019 du 20 janvier 2020 consid. 3.2.1), ni une demande de prolongation du délai de garde (ATF 127 I 31 consid. 2b, JdT 2001 I 727 ; TF 4A_2/2024 précité consid. 3.1 ; TF 4A_577/2019 du 7 janvier 2020).</w:t>
      </w:r>
    </w:p>
    <w:p>
      <w:r>
        <w:rPr>
          <w:b/>
        </w:rPr>
        <w:t>E. 4.3</w:t>
      </w:r>
    </w:p>
    <w:p>
      <w:r>
        <w:t>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 ; CREC 30 mai 2023/109).</w:t>
      </w:r>
    </w:p>
    <w:p>
      <w:r>
        <w:rPr>
          <w:b/>
        </w:rPr>
        <w:t>E. 4.4</w:t>
      </w:r>
    </w:p>
    <w:p>
      <w:r>
        <w:t>En l’espèce, le courrier recommandé contenant la décision n’a pas été retiré par le recourant, l’échéance du délai de garde étant le 25 février 2025. Le délai de 10 jours a donc commencé à courir dès le lendemain pour arriver à échéance le 7 mars 2025. Ainsi, le recours, daté du 12 mars 2025 et remis à la Poste le 13 mars 2025, est manifestement tardif et, par conséquent, irrecevable.</w:t>
      </w:r>
    </w:p>
    <w:p>
      <w:r>
        <w:rPr>
          <w:b/>
        </w:rPr>
        <w:t>E. 5</w:t>
      </w:r>
    </w:p>
    <w:p>
      <w:r>
        <w:t>Il est encore relevé, à titre superfétatoire, que le recourant ne motive pas, de manière circonstanciée, une violation de l’art. 207 LP, mais se place au stade de la production de sa créance dans la faillite, ses prétentions étant même adressées à l’office des faillites.</w:t>
      </w:r>
    </w:p>
    <w:p>
      <w:r>
        <w:t>- 5 - A cela s’ajoute que la faillite d’une partie à un procès constitue un cas de suspension légale et il n’incombe pas au juge de statuer en opportunité pour déterminer si la cause doit être suspendue. Cette solution s’impose de plein droit, le juge civil se bornant à constater la suspension du procès résultant de la solution légale (CREC 13 mai 2022/122 consid. 5.2 ; CREC 20 décembre 2013/438).</w:t>
      </w:r>
    </w:p>
    <w:p>
      <w:r>
        <w:rPr>
          <w:b/>
        </w:rPr>
        <w:t>E. 6</w:t>
      </w:r>
    </w:p>
    <w:p>
      <w:r>
        <w:t>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w:t>
      </w:r>
    </w:p>
    <w:p>
      <w:r>
        <w:t>- 6 - Le vice-président : Le greffier : Du L'arrêt qui précède, dont la rédaction a été approuvée à huis clos, est notifié à : - M. O.________ ; - Me John-David Burdet (pour D.________).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