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P324.036615 vom 2. September 2025</w:t>
      </w:r>
    </w:p>
    <w:p>
      <w:r>
        <w:t>VD Tribunal cantonal, 2025-09-02, FR</w:t>
      </w:r>
    </w:p>
    <w:p>
      <w:r>
        <w:rPr>
          <w:b/>
        </w:rPr>
        <w:t xml:space="preserve">Quelle: </w:t>
      </w:r>
      <w:r>
        <w:t>https://mcp.opencaselaw.ch/entscheid/vd_gerichte_P324.036615</w:t>
      </w:r>
    </w:p>
    <w:p>
      <w:r>
        <w:t>FR: VD_GERICHTE P324.036615 du 2 septembre 2025</w:t>
      </w:r>
    </w:p>
    <w:p>
      <w:r>
        <w:t>IT: VD_GERICHTE P324.036615 del 2 settembre 2025</w:t>
      </w:r>
    </w:p>
    <w:p>
      <w:pPr>
        <w:pStyle w:val="Heading2"/>
      </w:pPr>
      <w:r>
        <w:t>Erwägungen</w:t>
      </w:r>
    </w:p>
    <w:p>
      <w:r>
        <w:rPr>
          <w:b/>
        </w:rPr>
        <w:t>E. 5.1</w:t>
      </w:r>
    </w:p>
    <w:p>
      <w:r>
        <w:t>Dans un dernier moyen, le recourant reproche au tribunal de ne pas lui avoir alloué de dépens.</w:t>
      </w:r>
    </w:p>
    <w:p>
      <w:r>
        <w:rPr>
          <w:b/>
        </w:rPr>
        <w:t>E. 5.2</w:t>
      </w:r>
    </w:p>
    <w:p>
      <w:r>
        <w:t>A la lecture de la décision attaquée, on constate une contradiction entre la motivation et le dispositif. Il ressort en effet de celui- ci – seul revêtu de l’autorité de chose jugée, les considérants ne liant pas le juge (cf. TF 4A_536/2018 du 16 mars 2020 consid. 3.1.1 et les références citées) – que la décision est rendue sans frais judiciaires ni dépens alors que, selon la motivation, le tribunal a compensé les dépens, au motif que chaque partie avait succombé sur ses propres conclusions. Le tribunal semble ainsi avoir perdu de vue que, l’intimée n’étant pas assistée, elle n’avait pas droit à des dépens – l’allocation d’une indemnité à forme de l’art. 95 al. 3 let. c CPC ne se justifiant pas –, de sorte que ceux</w:t>
      </w:r>
    </w:p>
    <w:p>
      <w:r>
        <w:t>- 13 - auxquels le recourant avait théoriquement droit ne pouvaient pas être compensés. Cela étant, la décision de ne pas allouer de dépens au recourant doit être confirmée par substitution de motifs. En effet, il peut être renoncé à allouer des dépens de première instance à l’intéressé, compte tenu de la brièveté extrême (un paragraphe de sept lignes) de la « réponse » sur demande reconventionnelle déposée (pp. 3 et 4 des déterminations du 17 octobre 2024, cf. art. 107 let. f CPC). Mal fondé, le grief est rejeté.</w:t>
      </w:r>
    </w:p>
    <w:p>
      <w:r>
        <w:rPr>
          <w:b/>
        </w:rPr>
        <w:t>E. 6</w:t>
      </w:r>
    </w:p>
    <w:p>
      <w:r>
        <w:t>En définitive, le recours doit être rejeté dans la faible mesure de sa recevabilité et la décision finale confirmée. Il ne sera pas perçu de frais judiciaires (art. 114 let. c CPC) et il n’y a pas lieu à l’allocation de dépens de deuxième instance, l’intimée ayant agi sans le concours d’un représentant professionnel. Par ces motifs, la Chambre des recours civile du Tribunal cantonal, prononce : I. Le recours est rejeté, dans la mesure où il est recevable. II. La décision est confirmée. III. L’arrêt, rendu sans frais, est exécutoire.</w:t>
      </w:r>
    </w:p>
    <w:p>
      <w:r>
        <w:t>- 14 - La présidente : La greffière : Du L'arrêt qui précède, dont la rédaction a été approuvée à huis clos, est notifié à : - Me Gabriele Beffa (pour C.________), - F. SARL.________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 Broye et du Nord vaudois.</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