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P324.035375 vom 26. November 2024</w:t>
      </w:r>
    </w:p>
    <w:p>
      <w:r>
        <w:t>VD Tribunal cantonal, 2024-11-26, FR</w:t>
      </w:r>
    </w:p>
    <w:p>
      <w:r>
        <w:rPr>
          <w:b/>
        </w:rPr>
        <w:t xml:space="preserve">Quelle: </w:t>
      </w:r>
      <w:r>
        <w:t>https://mcp.opencaselaw.ch/entscheid/vd_gerichte_P324.035375</w:t>
      </w:r>
    </w:p>
    <w:p>
      <w:r>
        <w:t>FR: VD_GERICHTE P324.035375 du 26 novembre 2024</w:t>
      </w:r>
    </w:p>
    <w:p>
      <w:r>
        <w:t>IT: VD_GERICHTE P324.035375 del 26 novembre 2024</w:t>
      </w:r>
    </w:p>
    <w:p>
      <w:pPr>
        <w:pStyle w:val="Heading2"/>
      </w:pPr>
      <w:r>
        <w:t>Erwägungen</w:t>
      </w:r>
    </w:p>
    <w:p>
      <w:r>
        <w:rPr>
          <w:b/>
        </w:rPr>
        <w:t>E. 1.1</w:t>
      </w:r>
    </w:p>
    <w:p>
      <w:r>
        <w:t>Selon l’art. 319 let. b ch. 1 CPC (Code de procédure civile du 19 décembre 2008 ; RS 272), peuvent notamment faire l’objet d’un recours les ordonnances d’instruction de première instance, dans les cas prévus par la loi. Tel est le cas des décisions de suspension, dès lors qu’elles entrent dans la catégorie des ordonnances d’instruction (ATF 141 III 270 consid. 3.3 ; TF 5A_146/2023 du 23 mai 2023 consid. 6.2.2.1.3) et que l’art. 126 al. 2 CPC prévoit qu’elles sont attaquables par la voie du recours.</w:t>
      </w:r>
    </w:p>
    <w:p>
      <w:r>
        <w:t>- 4 - Le délai de recours est de dix jours (art. 321 al. 2 CPC ; ATF 141 III 270 consid. 3.3 ; TF 5A_146/2023 du 23 mai 2023 consid. 6.2.2.1.3). Ce délai est valablement observé lorsque le recours est acheminé en temps utile auprès de l'autorité précédente en lieu et place de l'autorité de recours (CREC 14 novembre 2024/273 ; CREC 15 septembre 2021/232), l'autorité précédente devant transmettre l’acte sans délai à l'autorité de deuxième instance (ATF 140 III 636 consid. 3.6), sans qu'il y ait lieu de faire application de l'art. 63 CPC.</w:t>
      </w:r>
    </w:p>
    <w:p>
      <w:r>
        <w:rPr>
          <w:b/>
        </w:rPr>
        <w:t>E. 1.2</w:t>
      </w:r>
    </w:p>
    <w:p>
      <w:r>
        <w:t>Interjeté en temps utile auprès de l’instance précédente qui l’a transmis à la Chambre des recours civile contre une décision sujette à recours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w:t>
      </w:r>
    </w:p>
    <w:p>
      <w:r>
        <w:t>- 5 - décision de première instance ; l’acte de recours fixe ainsi en principe le cadre des griefs auxquels l’autorité d’appel doit répondre eu égard au principe d’application du droit d’office (ATF 147 III 176 consid. 4.2.1 et 4.2.2 ; TF 5A_873/2021 du 4 mars 2022 consid 4.2).</w:t>
      </w:r>
    </w:p>
    <w:p>
      <w:r>
        <w:rPr>
          <w:b/>
        </w:rPr>
        <w:t>E. 2.2.1</w:t>
      </w:r>
    </w:p>
    <w:p>
      <w:r>
        <w:t>Les conclusions, les allégations de faits et les preuves nouvelles sont irrecevables en procédure de recours (art. 326 al. 1 CPC).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 dire de véritables nova (ATF 139 III 120 consid. 5.1.2 ad art. 99 LTF ; TF 5A_778/2018 du 23 août 2019 consid. 2.3, non publié à l’ATF 145 III 474).</w:t>
      </w:r>
    </w:p>
    <w:p>
      <w:r>
        <w:rPr>
          <w:b/>
        </w:rPr>
        <w:t>E. 2.2.2</w:t>
      </w:r>
    </w:p>
    <w:p>
      <w:r>
        <w:t>En l’espèce, le recourant allègue des faits nouveaux. Il indique que l’intimée aurait transféré des actifs, avant de se retrouver en faillite, en faveur d’une entreprise dont le fils de l’associé-gérant de celle-ci est propriétaire. Dès lors qu’il n’a pas été invité par l’autorité précédente à se déterminer avant la suspension de la procédure, le recourant ne pouvait se prévaloir des faits concernés devant l’autorité de première instance. La question de la recevabilité des faits nouveaux invoqués par le recourant, lesquels ne sont étayés par aucune pièce, peut cependant demeurer indécise au vu de ce qui suit.</w:t>
      </w:r>
    </w:p>
    <w:p>
      <w:r>
        <w:t>- 6 -</w:t>
      </w:r>
    </w:p>
    <w:p>
      <w:r>
        <w:rPr>
          <w:b/>
        </w:rPr>
        <w:t>E. 3</w:t>
      </w:r>
    </w:p>
    <w:p>
      <w:r>
        <w:t>L'article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(al. 1). La présente disposition ne s’applique pas aux actions en dommages-intérêts pour cause d’injures et de lésions corporelles ni aux procédures relevant du droit de la famille (al. 4). Dans l’hypothèse de l’art. 207 LP, la suspension intervient de plein droit et le juge civil se borne à constater la suspension du procès (CREC 18 décembre 2023/257 consid. 5.2.1 ; Haldy, in Bohnet et al., Commentaire romand, Code de procédure civile, 2e éd., Bâle 2019, 3 ad art. 126 CPC). Le juge doit toutefois examiner s’il se justifierait de renoncer à la suspension en raison de l’urgence (art. 207 al. 1 in initio LP) ou de l’un des motifs prévus à l’art. 207 al. 4 LP, et si la cause dont il est saisi peut influer sur la composition de la masse. C’est dire que le juge doit, le cas échéant et en règle générale, rendre une décision formelle de suspension (Gilliéron, Commentaire de la loi fédérale sur la poursuite pour dettes et la faillite, art. 159-270, Lausanne 2001, n. 18 et 19 ad art. 207 LP). En l’espèce, le recourant ne fait valoir aucun argument valable en lien avec une violation de l’art. 207 LP. Il invoque uniquement le fait que l’intimée aurait effectué des transferts frauduleux de tout ou partie de ses actifs en faveur d’une entreprise dont le fils de l’associé-gérant de celle-ci est propriétaire. Or, même si cette affirmation – qui n’est prouvée par aucune pièce – devait s’avérer exacte, elle n’est dans tous les cas pas déterminante au sens de l'article 207 LP. Un tel cas de figure ne constitue en effet pas une exception prévue par cette disposition, tout comme la violation de l’art. 163 CP ([Code pénal suisse du 21 décembre 1937 ; RS 311.0]), ainsi que de l’art. 285 LP, invoquée par le recourant dans ce cadre.</w:t>
      </w:r>
    </w:p>
    <w:p>
      <w:r>
        <w:t>- 7 - C'est donc à juste titre que le premier juge a suspendu le procès au sens de l'article 207 LP.</w:t>
      </w:r>
    </w:p>
    <w:p>
      <w:r>
        <w:rPr>
          <w:b/>
        </w:rPr>
        <w:t>E. 4</w:t>
      </w:r>
    </w:p>
    <w:p>
      <w:r>
        <w:t>En conclusion, le recours, manifestement mal fondé, doit être rejeté et la décision confirmée. S’agissant d’un litige portant sur un conflit du travail dont la valeur litigieuse est inférieure à 30'000 fr. (art. 114 let. c CPC), il n’est pas perçu de frais judiciaires. Par ces motifs, la Chambre des recours civile du Tribunal cantonal, statuant à huis clos, en application de l'article 322 al. 1 CPC, prononce : I. Le recours est rejeté. II. La décision est confirmée. III. L'arrêt, rendu sans frais, est exécutoire. La présidente : La greffière :</w:t>
      </w:r>
    </w:p>
    <w:p>
      <w:r>
        <w:t>- 8 - Du L'arrêt qui précède, dont la rédaction a été approuvée à huis clos, est notifié à : - M. H.________ - R.________ Sàrl en liquidation).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 L’Office des faillites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