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P324.010084 vom 30. Januar 2025</w:t>
      </w:r>
    </w:p>
    <w:p>
      <w:r>
        <w:t>VD Tribunal cantonal, 2025-01-30, FR</w:t>
      </w:r>
    </w:p>
    <w:p>
      <w:r>
        <w:rPr>
          <w:b/>
        </w:rPr>
        <w:t xml:space="preserve">Quelle: </w:t>
      </w:r>
      <w:r>
        <w:t>https://mcp.opencaselaw.ch/entscheid/vd_gerichte_P324.010084</w:t>
      </w:r>
    </w:p>
    <w:p>
      <w:r>
        <w:t>FR: VD_GERICHTE P324.010084 du 30 janvier 2025</w:t>
      </w:r>
    </w:p>
    <w:p>
      <w:r>
        <w:t>IT: VD_GERICHTE P324.010084 del 30 gennaio 2025</w:t>
      </w:r>
    </w:p>
    <w:p>
      <w:pPr>
        <w:pStyle w:val="Heading2"/>
      </w:pPr>
      <w:r>
        <w:t>Erwägungen</w:t>
      </w:r>
    </w:p>
    <w:p>
      <w:r>
        <w:rPr>
          <w:b/>
        </w:rPr>
        <w:t>E. 6</w:t>
      </w:r>
    </w:p>
    <w:p>
      <w:r>
        <w:t>Au vu de ce qui précède, l’appel doit être déclaré irrecevable dans son ensemble, selon l’art. 312 al. 1 in fine CPC. S’agissant d’un litige portant sur un contrat de travail dont la valeur litigieuse n’excède pas 30’000 fr. et l’art. 115 CPC n’étant pas applicable, l’arrêt sera rendu sans frais judiciaires de deuxième instance (art. 114 let. c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