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P324.008742 vom 14. Januar 2025</w:t>
      </w:r>
    </w:p>
    <w:p>
      <w:r>
        <w:t>VD Tribunal cantonal, 2025-01-14, FR</w:t>
      </w:r>
    </w:p>
    <w:p>
      <w:r>
        <w:rPr>
          <w:b/>
        </w:rPr>
        <w:t xml:space="preserve">Quelle: </w:t>
      </w:r>
      <w:r>
        <w:t>https://mcp.opencaselaw.ch/entscheid/vd_gerichte_P324.008742</w:t>
      </w:r>
    </w:p>
    <w:p>
      <w:r>
        <w:t>FR: VD_GERICHTE P324.008742 du 14 janvier 2025</w:t>
      </w:r>
    </w:p>
    <w:p>
      <w:r>
        <w:t>IT: VD_GERICHTE P324.008742 del 14 gennaio 2025</w:t>
      </w:r>
    </w:p>
    <w:p>
      <w:pPr>
        <w:pStyle w:val="Heading2"/>
      </w:pPr>
      <w:r>
        <w:t>Erwägungen</w:t>
      </w:r>
    </w:p>
    <w:p>
      <w:r>
        <w:rPr>
          <w:b/>
        </w:rPr>
        <w:t>E. 11</w:t>
      </w:r>
    </w:p>
    <w:p>
      <w:r>
        <w:t>Le 20 février 2024, l’intimé a ouvert une action en paiement contre l’appelante par devant le tribunal, ensuite de l’échec de la conciliation, introduite par requête du 11 octobre 2023. Il a conclu, avec suite de frais et dépens au paiement par l’appelante de la somme brute de 4'441 fr. 65 sous déduction des charges légales et conventionnelles, avec intérêt à 5 % l’an dès le 1er septembre 2023, à titre de salaire pour le mois d’août 2023, et de la somme nette de 25’558 fr. 35, avec intérêt à 5 % l’an dès le 1er septembre 2023 à titre d’indemnité pour licenciement abusif. Dans sa réponse du 7 mai 2024, l’appelante a conclu, avec suite de frais et dépens, à l’irrecevabilité des conclusions de la demande, subsidiairement, à leur rejet. Le tribunal a tenu une audience de jugement le 3 juin 2024 au cours de laquelle l’intimé a été interrogé en qualité de partie et à laquelle le représentant de l’appelante ne s’est pas présenté sans motif valable.</w:t>
      </w:r>
    </w:p>
    <w:p>
      <w:r>
        <w:t>- 8 -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L’appel est de la compétence de la Cour d’appel civile (art. 84 al. 1 LOJV [loi d’organisation judiciaire du 12 décembre 1979 ; BLV 173.01]). 1.2 En l'espèce, formé en temps utile par une partie qui a un intérêt digne de protection (art. 59 al. 2 let. a CPC), contre une décision finale de première instance en lien avec des prétentions patrimoniales dont la valeur litigieuse est supérieure à 10’000 fr., l’appel est recevable, sous réserve de certains passages (cf. consid. 2.2 infra). 1.3 Les pièces produites avec l’appel figurent déjà au dossier de première instance. Elles sont en conséquence recevables. 2. 2.1 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w:t>
      </w:r>
    </w:p>
    <w:p>
      <w:r>
        <w:t>- 9 -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2.1.2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w:t>
      </w:r>
    </w:p>
    <w:p>
      <w:r>
        <w:t>- 10 -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 2.2 2.2.1 En l’espèce, l’appelante développe sur près de dix pages un exposé des faits sous la forme d’allégués assez vastes, accompagnés d’offres de preuves, sans indiquer le fondement de ses éventuelles critiques de l’état de fait de première instance. Cette partie du mémoire d’appel est en conséquence irrecevable. 2.2.2 L’appelante se prévaut d’une supposée constatation inexacte des faits, doublée d’une appréciation, selon elle, arbitraire des preuves en relation avec l’application de l’art. 147 CPC par les premiers juges à la suite de son défaut à l’audience de jugement. Elle n’explicite toutefois pas ce moyen, de sorte qu’il est irrecevable. 2.2.3 En ce qui concerne les faits retenus par les premiers juges, elle réitère son assertion de première instance selon laquelle W.________, lorsqu’il a repris son capital n’avait pas connaissance du dossier professionnel de l’intimé. Les premiers juges ont retenu que ce fait était peu probable. L’appelante ne donne aucune raison de s’écarter de leur appréciation. Il n’est d’ailleurs pas établi que W.________ aurait racheté le capital de l’appelante et ce fait n’est de toute façon guère pertinent : une société anonyme garde par définition la même personnalité juridique lors de l’acquisition de son capital par un nouvel investisseur. 2.2.4 L’appelante discute librement l’appréciation qu’il faut porter sur les incidents retenus par les premiers juges, notamment les plaintes de clients. Elle ne fait cependant valoir aucun motif précis contre les faits retenus et mêle à ses considérations des appréciations d’ordre juridique. Le fait que la reconnaissance de remboursement du 16 mai 2006 mentionne le nom de famille de l’intimé a été corrigé dans l’état de fait du présent arrêt. Les premiers juges ont par ailleurs retenu, sur la base de</w:t>
      </w:r>
    </w:p>
    <w:p>
      <w:r>
        <w:t>- 11 - déclarations de l’intimé que le crédit fait au client en 2018 avait été accordé avec l’autorisation du patron de l’établissement. Ces faits sont cependant sans portée sur l’issue du litige. 3. 3.1 L’appelante fait valoir que le contrat de travail en cause n’a pas duré plus d’un an. Elle se fonde sur le fait qu’il a été résilié le 28 janvier 2023 et qu’il y aurait eu un nouveau contrat le 11 avril 2023. Peu importerait selon elle le temps passé par l’intimé dans l’établissement, les précédents accords de reprise d’activité ou les annulations de précédents congés. Lorsque W.________ aurait « repris les rênes » de l’établissement, au 1er mars 2023, l’intimé avait été licencié en bonne et due forme et le contrat du 11 avril 2023 était un nouveau contrat, d’autant qu’il prévoyait un salaire plus élevé. 3.2 La durée d’un contrat de travail dépend de la volonté commune des parties. Il est à cet égard admis que la conclusion de contrats successifs, le changement de fonctions ou de brèves interruptions des rapports de travail ne rompent pas l’unité de celui-ci (ATF 112 II 54 ; Portmann/Rudolph, in Widmer Lüchinger/Oser [éd.], Basler Kommentar OR I, 7e éd, 2020, n. 15 ad art. 324a CO et n. 4 ad art. 335c CO ; Ordolli/Witzig, in Thévenoz/Werro (éd.), Commentaire romand, CO I, 3e éd., 2021, n. 3 ad art. 335c CO). 3.3 En l’espèce, l’appelante invoque les mêmes moyens qu’en première instance, sans démontrer en quoi le raisonnement des premiers juges serait erroné. La recevabilité du recours sur ce point apparaît douteuse. Au demeurant, comme l’ont souligné les premiers juges, la reprise du capital de l’appelante par W.________, au demeurant non établie, n’a entraîné aucune modification des rapports de travail : l’employeur est demeuré comme auparavant K.________ SA et le travail accompli par l’intimé n’a pas changé. En outre, le « contrat » du 11 avril</w:t>
      </w:r>
    </w:p>
    <w:p>
      <w:r>
        <w:t>- 12 - 2023 entrait en vigueur immédiatement, c’est-à-dire avant l’échéance du licenciement du 28 janvier 2023. Dans de telles conditions, il est téméraire de soutenir que les rapports contractuels auraient duré moins d’un an, au motif que le salaire de l’intimé aurait été augmenté. Les rapports de travail ont donc bien duré vingt-deux ans, étant précisé que l’appelante ne critique pas – à raison d’ailleurs – le raisonnement des premiers juges selon lequel les rapports de travail n’avaient précédemment jamais réellement été interrompus. Il s’ensuit que le salaire du mois d’août 2023 était dû et le moyen doit être rejeté dans la mesure où il est recevable. 4. 4.1 L’appelante soutient que l’intimé ne s’est pas valablement opposé au congé. Selon elle, la lettre du conseil de celui-ci du 27 juin 2023 ne remplissait pas les conditions posées par le Tribunal fédéral dans l’arrêt 4A_59/2023 du 28 mars 2023. Elle soutient que cet arrêt pose de nouvelles exigences au travailleur qui entend faire opposition au congé, à savoir manifester clairement et sans ambiguïté sa volonté de poursuivre les rapports de travail et d’engager des négociations dans ce but et évoquer l’indemnité pour licenciement abusif. 4.2 En vertu de l'art. 336b al. 1 CO (Code des obligations du 30 mars 1911 ; RS 220),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 elle tend à encourager les parties à engager des pourparlers et à examiner si les rapports de travail peuvent être maintenus (TF 4A_320/2014 du consid. 3.1 ; TF 4A_571/2008 du consid. 4.1.2 ; Wyler/Heinzer/ Witzig, Droit du travail, 5e éd. 2024, p. 915). Dans cette perspective, le droit du travailleur de réclamer l'indemnité pour</w:t>
      </w:r>
    </w:p>
    <w:p>
      <w:r>
        <w:t>- 13 - licenciement abusif s'éteint si le travailleur refuse l'offre formulée par l'employeur de retirer la résiliation (ATF 134 III 67 consid. 5 ; Wyler/Heinzer/Witzig, op. cit., p. 915). Il n'y a pas d'opposition lorsque le travailleur s'en prend seulement à la motivation de la résiliation, ne contestant que les motifs invoqués dans la lettre de congé, et non à la fin des rapports de travail en tant que telle (TF 4A_59/2023 du 28 mars 2023 consid. 4.1 ; TF 4A_320/2014 déjà cité consid. 3.1 ; TF 4A_571/2008 déjà cité consid. 4.1.2 ; Wyler/Heinzer/Witzig, op. cit., p. 912). 4.3 Dans l’arrêt 4A_59/2023 précité, le Tribunal fédéral a constaté que le recourant avait écrit, le 20 décembre 2016, qu'il « form[ait] opposition à ce congé » et simultanément qu'il prenait acte que les « rapports de travail prendront (...) fin le 31 janvier 2017 ». Ses intentions n'étaient pas claires puisqu'il déclarait tout à la fois former opposition au congé et que ce congé interviendrait bien à la date susmentionnée. La cour cantonale avait dégagé la véritable intention de l'employé qui était d'accepter la fin des rapports de travail. Il fallait donc comprendre la lettre du 20 décembre 2016 en ce sens que son opposition portait sur les motifs avancés par l'employeur et non sur la fin de son emploi (consid. 4.2). Le Tribunal fédéral a en conséquence jugé que la cour cantonale n’avait pas violé le droit en refusant une indemnité pour congé abusif, à laquelle l'employé ne pouvait prétendre faute d'avoir formé opposition au licenciement au sens de l'art. 336b al. 1 CO en temps utile. 4.4 En l’espèce, l’appelante invoque exactement les mêmes moyens qu’en première instance sans discuter la motivation des premiers juges. La recevabilité de ses moyens est dès lors là également douteuse. Au demeurant, comme l’ont relevé les premiers juges et comme il ressort de l’analyse ci-dessus, l’arrêt dont se prévaut l’appelante ne pose aucune nouvelle exigence, contrairement à l’avis de doctrine invoqué par celle-ci. Le Tribunal fédéral y a résolu une contradiction en ce sens que le travailleur déclarait faire opposition au congé, mais simultanément, prenait acte du fait que les rapports de travail prendraient fin à la date dudit congé.</w:t>
      </w:r>
    </w:p>
    <w:p>
      <w:r>
        <w:t>- 14 - En l’espèce, le conseil de l’intimé a clairement manifesté dans sa lettre l’opposition au congé. Cette lettre permettait sans doute aucun à l’employeur de prendre conscience que son employé contestait le licenciement et le considérait comme abusif, et qu’il contestait la fin des rapports de travail en tant que telle. Contrairement à ce que fait valoir l’appelante, l’intimé, par cette lettre, exprimait par ailleurs clairement une offre de poursuivre les rapports de travail. Son conseil écrivait en effet « Il s’agit également pour l’employeur de rechercher des solutions pour permettre la poursuite des rapports de travail », indiquait que l’intimé pouvait prétendre à une indemnité pour licenciement abusif et précisait qu’il offrait ses services « si vous devez le souhaiter ». L’argumentation de l’appelante est là également téméraire, ce d’autant plus que l’intimé qu’elle a refusé l’offre des services de l’intimé le 5 juillet 2023. 5 5.1 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 4.1), le travailleur étant protégé contre les congés abusifs (art. 336 à 336b CO) et ceux donnés en temps inopportun (art. 336c CO).</w:t>
      </w:r>
    </w:p>
    <w:p>
      <w:r>
        <w:t>- 15 - 5.2 Aux côtés des motifs abusifs décrits par l'art. 336 al. 1 CO, la jurisprudence a dégagé d'autres motifs jugés abusifs. Par exemple le motif lié à la violation de ses obligations par l'employeur (TF 4A_390/2021 du 1er février 2022 consid. 3.1.1 ; Wyler/Heinzer/Witzig, op. cit., pp. 882 ss et réf. cit.). Le Tribunal fédéral a en particulier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Haute Cour avait relevé le devoir d'assistance particulier de l'employeur envers un employé qui se trouve à quelques mois de la retraite et a travaillé quarante-quatre ans au service de la même entreprise en donnant satisfaction (ATF 132 III 115 consid. 5 ; TF 4A_307/2022 du 18 janvier 2023 consid. 4.1). Dans des arrêts ultérieurs, le Tribunal fédéral a relevé qu'il fallait tenir compte de toutes les circonstances du cas particulier et non s'en tenir au seul âge du collaborateur pour décider du caractère abusif ou non d'une résiliation (TF 4A_60/2009 du 3 avril 2009 consid. 3.2 ; TF 4A_419/2007 du 29 janvier 2008 consid. 2.5).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(TF 4A_60/2009 précité consid. 3.2 et la référence citée ; TF 4A_419/2007 précité consid. 2.6). Toutefois, dans cette hypothèse, l’employeur doit manifester des égards particuliers pour le travailleur, l’informer préalablement de la mesure envisagée, lui laisser l’occasion de se déterminer et de rechercher d’autres solutions permettant la poursuite de l’emploi à des conditions adaptées à sa personne et à ses capacité professionnelles, assortie d’un délai raisonnable pour faire ses preuves (TF 4A_117/2023 du 15 mai 2023 consid. 3.4.2 ; TF 4A_384/2014 du 12</w:t>
      </w:r>
    </w:p>
    <w:p>
      <w:r>
        <w:t>- 16 - novembre 2014 consid. 4.2.2 ; Wyler/Heinzer/Witzig, op. cit., pp. 896 ss et les réf. citées). 5.3 La partie qui prétend que la résiliation est abusive doit le prouver (art. 8 CC ; TF 4A_3/2023 du 30 août 2023 consid. 4.1 ; ATF 123 III 246 consid. 4b, JdT 1998 I 300). Le juge peut présumer l’existence d’un abus lorsque l’employé parvient à présenter des indices suffisants pour faire apparaître comme non réel le motif avancé par l’employeur ; il s’agit d’une forme de « preuve par indices ». De son côté, l’employeur ne peut rester inactif et doit fournir des preuves à l’appui de ses propres allégations justifiant le licenciement (ATF 130 III 699 consid. 4.1). 5.4 En l’espèce, comme on l’a vu, les rapport contractuels entre les parties ont duré vingt-deux ans (cf. consid. 3 supra). Il n’est pas prétendu que le rendement du travailleur aurait diminué. Il s’ensuit que l’intimé, âgés de soixante-trois ans, avait droit à la protection accrue que la jurisprudence accorde aux travailleurs âgés lorsque les relation contractuelles ont été de longue durée. L’appelante rappelle qu’elle a invoqué trois motifs à l’appui du licenciement litigieux : la réorganisation complète des postes de travail, une situation économique tendue et des besoins des artistes par l’adjonction de personnel féminin. Au chiffre 2.3.3 de son mémoire d’appel, elle indique toutefois que « la réalité est bien différente ». Ce faisant, l’appelante admet et va jusqu’à affirmer que les motifs invoqués étaient mensongers. Comme on l’a vu plus haut, le juge doit dans de tels cas présumer l’existence d’un congé abusif L’appelante invoque en outre que, par son attitude passée et ses manquements professionnels, l’intimé aurait rompu le rapport de confiance entre les parties. Toutefois, ces prétendus manquements sont anciens : si l’on fait abstraction du reproche d’avoir accordé un crédit à un client – ce qui n’apparaît pas très grave –, et qui date de cinq ans avant le congé, les faits les plus récents dont l’appelant fait grief à son employé datent de huit ans avant que le congé ne soit donné. Il est parfaitement évident que l’on ne saurait de bonne foi faire valoir des motifs aussi</w:t>
      </w:r>
    </w:p>
    <w:p>
      <w:r>
        <w:t>- 17 - anciens. Ces griefs doivent d’ailleurs être fortement relativisés. Il est possible que l’intimé se soit fait appeler « I.________ » au lieu de B.________, mais les responsabilités de l’employé et de l’employeur ne sont pas clairement établies dans les cas des deux clients qui se sont plaints en 2005. L’intimé a bien fait l’objet d’une plainte pénale, comme s’en prévaut l’appelante, mais cette plainte a été retirée et on ignore si elle était fondée et si elle avait un quelconque lien avec l’activité professionnelle de l’intimé. Le contrat de l’intimé a été brièvement suspendu par l’appelante en 2010 pour des raisons administratives. L’intéressé a reçu un avertissement en raison de relations avec les artistes en 2014. Il a été licencié en 2015 sans que l’on connaisse les motifs du congé, et ce licenciement n’a pas été suivi d’effets. Il a finalement été averti pour avoir accordé un crédit à un client en 2018. Les seuls reproches que l’appelante peut faire à l’intimé concernent les deux événements de 2005, d’avoir eu des relations avec des artistes en 2014 et d’avoir accordé un crédit à un client à 2018. L’invocation de tels griefs à l’appui du congé litigieux démontre qu’il s’agit de prétextes, renforçant la suspicion d’un congé abusif. L’appelante ne fait valoir aucun autre moyen contre l’appréciation des premiers juges selon laquelle le congé était abusif et n’invoque aucun moyen susceptible de justifier sa conclusion subsidiaire en annulation. Au vu de ce qui précède, on ne peut que confirmer l’appréciation des premiers juges. Le congé donné à un travailleur âgé au terme d’une relation de travail particulièrement longue et donné sans aucun ménagement, pour des motifs qui apparaissent clairement comme des prétextes doit être considéré comme abusif. 6. 6.1 6.1.1 En conclusion, l’appel, manifestement mal fondé, doit être rejeté selon les modalités de l’art. 312 al. 1 CPC et le jugement confirmé.</w:t>
      </w:r>
    </w:p>
    <w:p>
      <w:r>
        <w:t>- 18 - 6.1.2 A la lecture du considérant 2 du présent arrêt, il ressort que le chiffre I du dispositif de l’arrêt notifié le 14 janvier 2025 rejetant l’appel n’exprime pas complètement la motivation de l’arrêt. Conformément à l’article 334 al. 1 CPC, il convient de rectifier ledit dispositif en ce sens que l’appel est rejeté dans la mesure de sa recevabilité. 6.2 6.2.1 Selon l’art. 114 let. c CPC, il n’est pas perçu de frais judiciaires dans la procédure au fond pour les litiges portant sur un contrat de travail lorsque la valeur litigieuse n’excède pas 30'000 francs. Toutefois, selon l'art. 115 CPC, les frais judiciaires peuvent, même dans les procédures gratuites, être mis à la charge de la partie qui a procédé de façon téméraire ou de mauvaise foi. Cette règle fait suite à l'énoncé de cas dans lesquels il n'est pas perçu de frais judiciaires (art. 113 al. 2 et art. 114 CPC). Elle apporte ainsi une exception à cette exemption, en raison d'un comportement téméraire ou de mauvaise foi (TF 4A_74/2018 du 28 juin 2018 consid. 7.2.2). 6.2.2 En l’espèce, l’appelante n’a fait que reprendre les arguments développés en première instance, sans discuter la motivation du jugement attaqué, de sorte que l’appel était en grande partie irrecevable. Au surplus, ces arguments étaient dénués de tout fondement, voire téméraires. Dans ces conditions, la Cour de céans ne discerne pas quel autre but l’appel pouvait avoir que de prolonger la procédure et de retarder le paiement des sommes dues. Il convient de mettre les frais de justice de deuxième instance, arrêtés à 400 fr., (art. 62 al. 1 et 67 al. 3 TFJC [tarif du 18 septembre 2010 des frais judiciaires civils ; BLV 270.11.5]), à la charge de l’appelante. 6.3 Il n’y a pas lieu d’allouer de dépens de deuxième instance, l’intimé n’ayant pas été invité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