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P323.055919 vom 4. Juni 2024</w:t>
      </w:r>
    </w:p>
    <w:p>
      <w:r>
        <w:t>VD Tribunal cantonal, 2024-06-04, FR</w:t>
      </w:r>
    </w:p>
    <w:p>
      <w:r>
        <w:rPr>
          <w:b/>
        </w:rPr>
        <w:t xml:space="preserve">Quelle: </w:t>
      </w:r>
      <w:r>
        <w:t>https://mcp.opencaselaw.ch/entscheid/vd_gerichte_P323.055919</w:t>
      </w:r>
    </w:p>
    <w:p>
      <w:r>
        <w:t>FR: VD_GERICHTE P323.055919 du 4 juin 2024</w:t>
      </w:r>
    </w:p>
    <w:p>
      <w:r>
        <w:t>IT: VD_GERICHTE P323.055919 del 4 giugno 2024</w:t>
      </w:r>
    </w:p>
    <w:p>
      <w:pPr>
        <w:pStyle w:val="Heading2"/>
      </w:pPr>
      <w:r>
        <w:t>Erwägungen</w:t>
      </w:r>
    </w:p>
    <w:p>
      <w:r>
        <w:rPr>
          <w:b/>
        </w:rPr>
        <w:t>E. 3</w:t>
      </w:r>
    </w:p>
    <w:p>
      <w:r>
        <w:t>A l’appui de ses conclusions en nullité absolue, l’appelante soutient que le jugement n’a pas été rendu entre les parties à la procédure, au motif que le président aurait procédé à une substitution de partie d’office et, qui plus est, sans que les conditions de l’art. 83 CPC soient remplies. En outre, l’appelante fait valoir que le jugement attaqué ordonne une mesure illégale, en ce sens qu’il ordonne la destruction des messages que l’appelante s’est envoyés alors que l’art. 339a CO ne prévoit que la restitution.</w:t>
      </w:r>
    </w:p>
    <w:p>
      <w:r>
        <w:rPr>
          <w:b/>
        </w:rPr>
        <w:t>E. 3.1</w:t>
      </w:r>
    </w:p>
    <w:p>
      <w:r>
        <w:t>Seuls empêchent un jugement d’acquérir l’autorité de chose jugée, et entraînent sa nullité absolue, des vices d’une gravité exceptionnelle. Sont nulles : la décision rendue sans qu’aucune demande n’ait été formée ; la décision qui pour des raisons de fait ne peut avoir aucun effet (par exemple celle rendue contre une personne inexistante) ; la décision rendue par un tribunal dans un domaine dans lequel il n’a aucun pouvoir de juridiction (par exemple un jugement de divorce prud’homal), la décision qui crée une situation inconnue du droit positif ou encore la décision qui condamne à une prestation illégale ou contraire aux mœurs (Cf. Hohl, op. cit., n. 548 p. 110 ss).</w:t>
      </w:r>
    </w:p>
    <w:p>
      <w:r>
        <w:rPr>
          <w:b/>
        </w:rPr>
        <w:t>E. 3.2</w:t>
      </w:r>
    </w:p>
    <w:p>
      <w:r>
        <w:t>- 11 -</w:t>
      </w:r>
    </w:p>
    <w:p>
      <w:r>
        <w:rPr>
          <w:b/>
        </w:rPr>
        <w:t>E. 3.2.1</w:t>
      </w:r>
    </w:p>
    <w:p>
      <w:r>
        <w:t>En l’espèce, l’appelante s’évertue en vain à vouloir démontrer que le président aurait substitué une partie à une autre, parce que le rubrum du jugement, aussi bien d’ailleurs que le chiffre VI de son dispositif, désignent comme partie requérante la société X.________SA, alors que la requête a été déposée contre l’appelante au nom de « X.________SA, société anonyme dont le siège se situe [...], à [...]», abrégée « [...]» dans les allégués de la requête. La société et ses succursales sont une seule et même personne. Le fait que, sur la page de garde de la requête, les mandataires de l’intimée ont donné pour adresse du siège de celle-ci l’adresse de sa succursale de [...] est sans conséquence aucune. Même si elle a été abrégée [...] dans les allégués, la partie requérante est clairement identifiée dans la requête, notamment dans les conclusions, comme X.________SA.</w:t>
      </w:r>
    </w:p>
    <w:p>
      <w:r>
        <w:rPr>
          <w:b/>
        </w:rPr>
        <w:t>E. 3.2.2</w:t>
      </w:r>
    </w:p>
    <w:p>
      <w:r>
        <w:t>C’est aussi sans le moindre fondement que l’appelante soutient que le jugement attaqué ordonnerait une mesure inconnue du droit ou une mesure illégale. Pour être inconnue du droit et entraîner la nullité absolue du jugement, il faut que la mesure ordonnée soit à ce point étrangère à l’ordre juridique suisse qu’elle ne pourra pas être exécutée ; ainsi, un jugement qui condamnerait une partie à constituer en faveur de l’autre un gage immobilier par nantissement ou le chiffre du dispositif d’un jugement de divorce qui ordonnerait le partage d’avoirs AVS, pourraient être frappés de nullité absolue, comme créant une situation inconnue de droit positif. De même, pour être illégale au sens visé au considérant 3.1 et entraîner la nullité du jugement, la condamnation doit avoir pour objet une prestation qui transgresse une interdiction légale et non seulement manquer de base légale. Ainsi, un jugement qui condamnerait une partie à remettre des stupéfiants à l’autre alors qu’aucune des parties n’est manifestement en droit de détenir de telles substances pourrait être frappé de nullité absolue, comme ordonnant un acte illicite. Un jugement qui, comme en l’espèce, condamne une personne à effacer des messages qui se trouvent dans sa boîte de messagerie privée n’entre à l’évidence dans aucune de ces catégories.</w:t>
      </w:r>
    </w:p>
    <w:p>
      <w:r>
        <w:t>- 12 - Il s’ensuit que les moyens de nullité absolue soulevés par l’appelante sont manifestement infondés.</w:t>
      </w:r>
    </w:p>
    <w:p>
      <w:r>
        <w:rPr>
          <w:b/>
        </w:rPr>
        <w:t>E. 4.1</w:t>
      </w:r>
    </w:p>
    <w:p>
      <w:r>
        <w:t>En définitive, l’appel doit être rejeté, dans la faible mesure de sa recevabilité, selon le mode procédural de l’art. 312 al. 1 in fine CPC. La Cour de céans n’étant entrée en matière que sur les moyens qui tendaient à la constatation de la prétendue nullité absolue du jugement attaqué, à l’exclusion des moyens qui tendaient à la réforme ou à l’annulation, le jugement attaqué n’a pas à être confirmé, la Cour de céans ne rendant pas une décision qui se substitue à lui. Le jugement attaqué ne sera dès lors que maintenu.</w:t>
      </w:r>
    </w:p>
    <w:p>
      <w:r>
        <w:rPr>
          <w:b/>
        </w:rPr>
        <w:t>E. 4.2</w:t>
      </w:r>
    </w:p>
    <w:p>
      <w:r>
        <w:t>Les frais judiciaires de deuxième instance, arrêtés à 450 fr. (art. 62 al. 1 et 67 al. 3 TFJC [Tarif des frais judiciaires civils du 28 septembre 2010 ; BLV 270.11.5]), seront mis à la charge de l’appelante, qui succombe (art. 106 al. 1 CPC).</w:t>
      </w:r>
    </w:p>
    <w:p>
      <w:r>
        <w:rPr>
          <w:b/>
        </w:rPr>
        <w:t>E. 4.3</w:t>
      </w:r>
    </w:p>
    <w:p>
      <w:r>
        <w:t>L’intimée est intervenue dans la procédure sans y avoir été invitée par la Cour de céans. Son intervention n’ouvre dès lors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