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P323.004823 vom 18. Dezember 2023</w:t>
      </w:r>
    </w:p>
    <w:p>
      <w:r>
        <w:t>VD Tribunal cantonal, 2023-12-18, FR</w:t>
      </w:r>
    </w:p>
    <w:p>
      <w:r>
        <w:rPr>
          <w:b/>
        </w:rPr>
        <w:t xml:space="preserve">Quelle: </w:t>
      </w:r>
      <w:r>
        <w:t>https://mcp.opencaselaw.ch/entscheid/vd_gerichte_P323.004823</w:t>
      </w:r>
    </w:p>
    <w:p>
      <w:r>
        <w:t>FR: VD_GERICHTE P323.004823 du 18 décembre 2023</w:t>
      </w:r>
    </w:p>
    <w:p>
      <w:r>
        <w:t>IT: VD_GERICHTE P323.004823 del 18 dicembre 2023</w:t>
      </w:r>
    </w:p>
    <w:p>
      <w:pPr>
        <w:pStyle w:val="Heading2"/>
      </w:pPr>
      <w:r>
        <w:t>Erwägungen</w:t>
      </w:r>
    </w:p>
    <w:p>
      <w:r>
        <w:rPr>
          <w:b/>
        </w:rPr>
        <w:t>E. 10</w:t>
      </w:r>
    </w:p>
    <w:p>
      <w:r>
        <w:t>septembre 2012 consid. 2.4). En outre, vu la nature réformatoire de l’appel, l’appelant ne saurait – sous peine d’irrecevabilité – se limiter à conclure à l’annulation de la décision attaquée et doit au contraire prendre des conclusions au fond permettant à l’instance d’appel de statuer à nouveau. Ses conclusions doivent être suffisamment précises pour qu’en cas d’admission de l’appel, elles puissent être reprises telles quelles dans le dispositif (ATF 137 III 617 consid. 4.3 et 6.1, JdT 2014 II 187 ; TF 4A_555/2022 du 11 avril 2023 consid. 2.6 ; TF 4A_207/2019 du 17 août 2020 consid. 3.2, non publié in ATF 146 III 413, SJ 2021 I p. 45). Il n’existe pas de présomption selon laquelle l’appelant ou le recourant qui ne précise pas ses conclusions serait censé reprendre celles formulées</w:t>
      </w:r>
    </w:p>
    <w:p>
      <w:r>
        <w:t>- 9 - devant l’instance précédente (TF 5D_43/2019 du 24 mai 2019 consid. 3.2.2.1). La protection constitutionnelle contre le formalisme excessif ne saurait avoir pour effet d’ôter toute portée et signification à une exigence procédurale dont la légitimité est indiscutable. Les conclusions doivent toutefois être interprétées globalement et de bonne foi, c’est‑à‑dire aussi dans le respect du principe de la favor validitatis (TF 4A_274/2020 du 1er septembre 2020 consid. 6). 1.2.2 On relève tout d’abord que l’appelant ne formule pas de conclusion dans son acte d’appel. On peut toutefois en déduire qu’il entend que les heures supplémentaires auxquelles il prétend lui soient payées. Il n’est en revanche pas possible de déterminer s’il entend contester les autres aspects du jugement entrepris et en particulier s’il conteste son licenciement avec effet immédiat, si bien qu’en application du principe de disposition (cf. art. 58 al. 1 CPC), la Cour de céans ne saurait en tous les cas examiner d’autre question que celle des heures supplémentaires. Ensuite, bien que l’appelant ne chiffre pas sa conclusion, contrairement aux exigences rappelées plus haut, on peut cependant admettre que l’appelant, non assisté, prétend au paiement de l’ensemble des heures alléguées et objet de la procédure de première instance, si bien que sa conclusion peut être considérée recevable. 1.2.3 Cela étant, l’appel doit néanmoins être déclaré irrecevable pour défaut de motivation. En effet, l’appelant ne procède à aucune critique des considérants du jugement attaqué. Il se contente d’évoquer sa position quant aux heures supplémentaires accomplies de manière très générale et n’évoque pas l’argumentation retenue par le tribunal. En particulier, on ne discerne aucun grief de l’appelant à l’encontre de l’appréciation relative à la tenue d’un registre des heures de travail et du fait que les heures payées à l’échéance du contrat correspondent à ce qui en ressort. Pour ce motif, l’appel est irrecevable.</w:t>
      </w:r>
    </w:p>
    <w:p>
      <w:r>
        <w:t>- 10 - 1.2.4 On ne discerne pas plus de grief recevable dans les explications de l’appelant en lien avec les événements du 5 août 2022 qui ont conduit à son licenciement avec effet immédiat. En effet, l’appelant se contente de façon peu cohérente d’arguer – sans l’étayer de quelque manière – que de la vaisselle aurait été jetée en sa direction et d’évoquer les circonstances de ses déclarations à la police. L’appelant ne démontre aucunement en quoi le jugement de première instance serait erroné sur ces points ni pour quels motifs sa thèse l’emporterait sur celle de la décision attaquée. Sur ce point également, l’appel est irrecevable en raison de son défaut de motivation. 2. 2.1 Au vu de ce qui précède, l’appel est irrecevable (art. 312 al. 1 CPC). 2.2 L’arrêt peut être rendu sans frais judiciaires de deuxième instance (art. 11 TFJC [tarif des frais judiciaires civils du 28 septembre 2010 ; BLV 270.11.5]). 2.3 Il n’y a pas lieu à l’allocation de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