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P322.038799 vom 20. August 2025</w:t>
      </w:r>
    </w:p>
    <w:p>
      <w:r>
        <w:t>VD Tribunal cantonal, 2025-08-20, FR</w:t>
      </w:r>
    </w:p>
    <w:p>
      <w:r>
        <w:rPr>
          <w:b/>
        </w:rPr>
        <w:t xml:space="preserve">Quelle: </w:t>
      </w:r>
      <w:r>
        <w:t>https://mcp.opencaselaw.ch/entscheid/vd_gerichte_P322.038799</w:t>
      </w:r>
    </w:p>
    <w:p>
      <w:r>
        <w:t>FR: VD_GERICHTE P322.038799 du 20 août 2025</w:t>
      </w:r>
    </w:p>
    <w:p>
      <w:r>
        <w:t>IT: VD_GERICHTE P322.038799 del 20 agosto 2025</w:t>
      </w:r>
    </w:p>
    <w:p>
      <w:pPr>
        <w:pStyle w:val="Heading2"/>
      </w:pPr>
      <w:r>
        <w:t>Erwägungen</w:t>
      </w:r>
    </w:p>
    <w:p>
      <w:r>
        <w:rPr>
          <w:b/>
        </w:rPr>
        <w:t>E. 1</w:t>
      </w:r>
    </w:p>
    <w:p>
      <w:r>
        <w:t>Déclarer le présent recours recevable. Sur le fond</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L’acte d’appel doit contenir des conclusions au fond. Il faut donc que l’appelant explicite dans quelle mesure la décision attaquée doit</w:t>
      </w:r>
    </w:p>
    <w:p>
      <w:r>
        <w:t>- 10 - être modifiée ou annulée (ATF 137 III 617 consid. 4.2.2, JdT 2014 Il 187 ; TF 5A_978/2018 du 15 avril 2019 consid. 1.2 ; JdT 2012 III 23 et réf. cit.),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w:t>
      </w:r>
    </w:p>
    <w:p>
      <w:r>
        <w:rPr>
          <w:b/>
        </w:rPr>
        <w:t>E. 1.3</w:t>
      </w:r>
    </w:p>
    <w:p>
      <w:r>
        <w:t>Formé en temps utile contre une décision finale par une partie qui a un intérêt digne de protection (art. 59 al. 2 let. a CPC) et portant sur des conclusions dont la valeur litigieuse totale est supérieure à 10'000 fr.,</w:t>
      </w:r>
    </w:p>
    <w:p>
      <w:r>
        <w:t>- 11 - l’appel est recevable sous réserve des précisions qui suivent. On déduit des conclusions de l’appelante qu'elle conclut à la réforme du jugement attaqué dans le sens où la demande formée par l'intimé est rejetée dans son entièreté. Cela étant, la conclusion 7 tendant à ce qu'il soit ordonné à l’appelante de prouver les faits développés dans son appel est sans portée. Il n'en va pas différemment de la conclusion 9, tendant à ce que les conclusions prises par l'intimé soient rejetées. Quant à la conclusion 10, qui vise à ce qu'il soit accordé à l’appelante ce à quoi elle aurait droit « en vertu de la loi », elle est irrecevable, à défaut d'indication plus précise quant à ce que veut l’appelante. On ne saurait en particulier en déduire que l’appelante requiert la réforme du jugement en ce sens que les conclusions reconventionnelles prises le 23 avril 2024 – et déclarées irrecevables – lui soient allouées. En effet, la conclusion 10 n'est aucunement chiffrée et ne fait pas référence auxdites conclusions.</w:t>
      </w:r>
    </w:p>
    <w:p>
      <w:r>
        <w:rPr>
          <w:b/>
        </w:rPr>
        <w:t>E. 1.4</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précité, consid. 5.1.2).</w:t>
      </w:r>
    </w:p>
    <w:p>
      <w:r>
        <w:rPr>
          <w:b/>
        </w:rPr>
        <w:t>E. 1.5</w:t>
      </w:r>
    </w:p>
    <w:p>
      <w:r>
        <w:t>En annexe à son écriture, l’appelante produit un volumineux bordereau de pièces. Certaines ont déjà été produites en procédure, mais tel n'est pas le cas pour la requête de conciliation. En outre, les pièces 26 à 28, déjà produites auprès des premiers juges, avaient été déclarées irrecevables. L'appelante n'expose toutefois pas pour quelles raisons ces pièces seraient aujourd'hui recevables, aucun grief n'étant développé à cet égard. Partant, les pièces nouvelles sont irrecevables.</w:t>
      </w:r>
    </w:p>
    <w:p>
      <w:r>
        <w:t>- 12 - 2.</w:t>
      </w:r>
    </w:p>
    <w:p>
      <w:r>
        <w:rPr>
          <w:b/>
        </w:rPr>
        <w:t>E. 2</w:t>
      </w:r>
    </w:p>
    <w:p>
      <w:r>
        <w:t>Admettre le présent recours.</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réf. cit.). Il n’appartient pas à la juridiction d’appel de comparer l’état de fait présenté en appel avec celui du jugement pour y déceler les éventuelles modifications apportées et en déduire les critiques de l’appelant (CACI 7 novembre</w:t>
      </w:r>
    </w:p>
    <w:p>
      <w:r>
        <w:t>- 13 - 2024/500 consid. 2.4.1 ; CACI 6 mars 2023/108 consid. 4.1 ; CACI 8 décembre 2022/594 consid. 4.1).</w:t>
      </w:r>
    </w:p>
    <w:p>
      <w:r>
        <w:rPr>
          <w:b/>
        </w:rPr>
        <w:t>E. 2.3</w:t>
      </w:r>
    </w:p>
    <w:p>
      <w:r>
        <w:t>L'écriture d'appel contient une partie intitulée « en fait ». Si l’appelante y énonce divers faits, parfois en se référant à des pièces, on n’y discerne aucun grief de constatation inexacte des faits valablement motivé. Il en résulte que cette partie de l'appel est irrecevable.</w:t>
      </w:r>
    </w:p>
    <w:p>
      <w:r>
        <w:rPr>
          <w:b/>
        </w:rPr>
        <w:t>E. 2.4</w:t>
      </w:r>
    </w:p>
    <w:p>
      <w:r>
        <w:t>Dans une dernière partie de son appel, intitulée « irrégularités de procédure et partialité judiciaire », l’appelante reprend certains éléments de son appel ainsi que des considérations liées à la procédure de première instance. Elle en déduit une violation du droit à un procès équitable sans toutefois développer un véritable grief propre à ce sujet, si bien que la recevabilité du tout est douteuse. Surtout, comme on le verra ci-dessous, les griefs qu'elle développe dans son appel doivent être intégralement rejetés, dans la mesure de leur recevabilité. Il en va ainsi en particulier de l'ensemble des griefs d'ordre formel, respectivement liés à une violation du droit d'être entendu. Or, l'argumentation quant à la violation du droit à un procès équitable se recouvrant avec celles développées quant à ces autres griefs, le rejet des secondes ne peut qu'entraîner le rejet de la première. 3.</w:t>
      </w:r>
    </w:p>
    <w:p>
      <w:r>
        <w:rPr>
          <w:b/>
        </w:rPr>
        <w:t>E. 3</w:t>
      </w:r>
    </w:p>
    <w:p>
      <w:r>
        <w:t>D'annuler la décision du Tribunal de prud'hommes de la Côte du 18 décembre 2024 dans l'affaire n° [...].</w:t>
      </w:r>
    </w:p>
    <w:p>
      <w:r>
        <w:rPr>
          <w:b/>
        </w:rPr>
        <w:t>E. 3.1</w:t>
      </w:r>
    </w:p>
    <w:p>
      <w:r>
        <w:t>L’appelante soulève plusieurs griefs d’ordre formel qu’il convient d’examiner en premier lieu. Elle fait en particulier valoir une violation de son droit d’être entendue à plusieurs égards.</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w:t>
      </w:r>
    </w:p>
    <w:p>
      <w:r>
        <w:t>- 14 - celle-ci contienne ou non de nouveaux éléments de fait ou de droit, et qu'elle soit ou non concrètement susceptible d'influer sur le jugement à rendre (TF 5A_259/2024 du 24 juillet 2024 consid. 3.2 et réf. cit.). Le droit d'être entendu garanti par l'art. 29 al. 2 Cst. impose au juge de motiver sa décision, permettant ainsi au justiciable d'exercer son droit de recours en connaissance de cause et à l'autorité de recours d'exercer un contrôle efficace (ATF 136 I 229 consid. 5.2 ;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w:t>
      </w:r>
    </w:p>
    <w:p>
      <w:r>
        <w:rPr>
          <w:b/>
        </w:rPr>
        <w:t>E. 3.3.1</w:t>
      </w:r>
    </w:p>
    <w:p>
      <w:r>
        <w:t>Dans un premier grief tiré d'une violation de l'art. 29 Cst., l’appelante estime que les premiers juges auraient dû interpeller les</w:t>
      </w:r>
    </w:p>
    <w:p>
      <w:r>
        <w:t>- 15 - parties avant de faire application de la CCT-SOR. A son sens, la question de l'application de cette convention aux rapports de travail unissant les parties n'avait pas été abordée durant la procédure de première instance et, singulièrement, pas été invoquée par l'intimé à l'appui de ses prétentions. Dans ces conditions, si les premiers juges entendaient en faire application, ils auraient dû permettre aux parties de se déterminer. Avec l’appelante, on peut constater qu'il ne ressort ni des écritures des parties ni des procès-verbaux des audiences que l'application éventuelle de la CCT-SOR aurait été abordée, s'agissant cependant d'une question de droit (cf. consid. 5.5 infra). Cela étant, une éventuelle violation du droit d'être entendu a été guérie dans le cadre de la procédure d'appel, l’appelante ayant pu développer l'ensemble de ses moyens en lien avec ce point de droit. Le grief doit donc être écarté. L'appelante développe en lien avec l'application de la CCT-SOR une autre argumentation, relative au cadre de la demande formée par l'intimé, qui sera examinée ci-après.</w:t>
      </w:r>
    </w:p>
    <w:p>
      <w:r>
        <w:rPr>
          <w:b/>
        </w:rPr>
        <w:t>E. 3.3.2</w:t>
      </w:r>
    </w:p>
    <w:p>
      <w:r>
        <w:t>Toujours en lien avec une violation de son droit d'être entendue, l’appelante se plaint que ses conclusions reconventionnelles, prises le 23 avril 2024, auraient été rejetées sans motivation par les premiers juges. L'appelante omet toutefois de préciser que ces conclusions ont été déclarées irrecevables, les conditions de leur introduction n'étant pas réalisées faute d'être fondées sur un élément nouveau (cf. jugement consid. llb, p. 23). La motivation développée, qui ne fait en réalité l'objet d'aucune critique, est suffisante et le grief tiré du droit d'être entendu ne peut qu'être écarté. Il n'en va pas différemment de tout autre grief que l’appelante a formé à l’encontre du fait que le jugement ne lui allouerait pas – à tort selon elle – les conclusions litigieuses. En effet, dans la mesure où elle ne s'en prend pas au raisonnement des premiers juges, les griefs de l’appelante sont insuffisamment motivés et donc irrecevables. Par surabondance, on relèvera que dans la mesure où elle ne conclut pas</w:t>
      </w:r>
    </w:p>
    <w:p>
      <w:r>
        <w:t>- 16 - formellement en appel à l'allocation des prétentions objet desdites conclusions, il n'est pas évident qu'elle dispose d'un intérêt digne de protection à contester le jugement sur ce point.</w:t>
      </w:r>
    </w:p>
    <w:p>
      <w:r>
        <w:rPr>
          <w:b/>
        </w:rPr>
        <w:t>E. 3.3.3</w:t>
      </w:r>
    </w:p>
    <w:p>
      <w:r>
        <w:t>Dans un grief complémentaire, l’appelante paraît soutenir que ses « déterminations » du 5 avril 2023 ont été écartées à tort. On comprend qu'elle se plaint que les faits intégrés à cette écriture, respectivement les pièces annexées, n'ont pas été pris en compte. A nouveau, elle ne s'en prend pas à la motivation des premiers juges à cet égard et ne tente même pas de démontrer en quoi les conditions de l'art. 229 CPC, dont elle se prévaut, auraient été réalisées au moment du dépôt desdites déterminations. Le grief est donc irrecevable. 4.</w:t>
      </w:r>
    </w:p>
    <w:p>
      <w:r>
        <w:rPr>
          <w:b/>
        </w:rPr>
        <w:t>E. 4</w:t>
      </w:r>
    </w:p>
    <w:p>
      <w:r>
        <w:t>Rejeter la demande de A.C.________ pour un montant global de CHF 20'177.30 telle que citée dans l'ordonnance du Tribunal de prud'hommes de l'arrondissement de la Côte, Nyon aux nos de série VI à XIII.</w:t>
      </w:r>
    </w:p>
    <w:p>
      <w:r>
        <w:rPr>
          <w:b/>
        </w:rPr>
        <w:t>E. 4.1</w:t>
      </w:r>
    </w:p>
    <w:p>
      <w:r>
        <w:t>Dans un long développement, l’appelante se plaint que les premiers juges ont retenu une motivation juridique qui n'a pas été invoquée par l'intimé durant la procédure de première instance.</w:t>
      </w:r>
    </w:p>
    <w:p>
      <w:r>
        <w:rPr>
          <w:b/>
        </w:rPr>
        <w:t>E. 4.2</w:t>
      </w:r>
    </w:p>
    <w:p>
      <w:r>
        <w:t>En vertu de l'art. 57 CPC, le tribunal applique le droit d'office.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 à cet égard, il n'est pas limité par l'argumentation des parties et peut se fonder sur tous les éléments de fait qui se trouvent dans le cadre du procès, peu importe la partie qui les a allégués et prouvés (TF 5A_561/2011 du 19 mars 2012 consid. 12.1 non publié à l'ATF 138 III 289). En vertu du principe jura novit curia, le juge doit statuer sur les conclusions des parties, invoquées dans le cadre de la maxime de disposition, sur la base de tous les fondements juridiques (Entstehungsgründe) possibles (TF 5A_204/2019 du 25 novembre 2019 consid. 3.7. 3).</w:t>
      </w:r>
    </w:p>
    <w:p>
      <w:r>
        <w:t>- 17 - Le juge peut modifier le fondement juridique d'une prétention, mais uniquement dans le cadre des conclusions des parties qui fixent les limites dans lesquelles le juge peut appliquer le droit. Le tribunal ne peut pas prendre en compte et apprécier des éléments extérieurs à l'objet du litige tel que déterminé par les conclusions, selon le principe ne eat iudex ultra petita partium (TF 5A_696/2019 du 19 juin 2020 consid. 3.1.2 ; ATF 142 III 234 consid. 2.2 ; TF 4A_907/2011 du 16 décembre 2011 consid. 2.4 ; Droese, note relative à l'arrêt TF 5A_696/2019 précité, in RSPC 2020 p. 511 ; Haldy, CR CPC, n. 5 ad art. 58 CPC). Ainsi, même si la demande peut contenir une motivation juridique (art. 221 al. 3 CPC), le fait que les parties fondent leur prétention sur les normes juridiques pertinentes ou non ne joue aucun rôle. Le juge n'est jamais lié par une motivation juridique incomplète ou erronée de la demande (TF 5A_696/2019 précité consid. 3. 1.1 ; Droese, note précitée).</w:t>
      </w:r>
    </w:p>
    <w:p>
      <w:r>
        <w:rPr>
          <w:b/>
        </w:rPr>
        <w:t>E. 4.3</w:t>
      </w:r>
    </w:p>
    <w:p>
      <w:r>
        <w:t>En l'espèce, l’appelante reproche en particulier aux premiers juges d'avoir retenu que l'intimé aurait été licencié alors même que celui- ci aurait en procédure toujours prétendu avoir démissionné. Elle fait en outre valoir que le jugement ne correspondrait pas à l'autorisation de procéder délivrée le 28 juin 2022. Sur ce dernier point, force est de constater que l'argumentation de l’appelante est difficilement compréhensible. En effet, l'autorisation de procéder précitée comporte uniquement, en sus des conclusions prises par l'intimé et sur lesquelles le tribunal s'est prononcé, la description du litige suivante : « Contrat de travail, arriérés de salaire, remboursement des cotisations LPP prélevées en trop. ». On ne saurait toutefois en déduire une argumentation juridique par hypothèse liant l'intimé. De même, dans sa demande, l'intimé ne se prévaut pas d'une démission et il n'en va pas différemment dans le cadre de sa réplique du 10 janvier 2023. Certes, dans un courrier du 8 mai 2022, l'intimé expose s'être « trouvé dans l'obligation d'anticiper [son] départ sans pouvoir respecter le délai de congé convenu dans le contrat de travail ». Cela ne</w:t>
      </w:r>
    </w:p>
    <w:p>
      <w:r>
        <w:t>- 18 - signifie cependant pas qu'il n'avait pas l'opportunité de se prévaloir d'un licenciement injustifié plus tard. Or c'est bien ce qu'il a fait, en prenant des conclusions modifiées à l'audience de jugement, certes irrecevables selon les premiers juges, reflétant une telle argumentation juridique. Or, le CPC, malgré ce que paraît soutenir l’appelante, n'oblige pas le demandeur (soit en l’espèce l’intimé) à arrêter son argumentation juridique au moment de la demande, mais bien l'objet – en l'occurrence financier – de ses conclusions. Dès lors, on ne saurait reprocher à l'intimé d'avoir, le cas échéant, modifié sa position et plaidé sur la base d'un autre chef de droit. Enfin, on relèvera qu'en tous les cas, le tribunal n'était pas lié par l'argumentation juridique de l'intimé et pouvait donc examiner d'autres causes de prétentions. En revanche, il était lié par le montant des conclusions, ce qu'il a d'ailleurs relevé.</w:t>
      </w:r>
    </w:p>
    <w:p>
      <w:r>
        <w:rPr>
          <w:b/>
        </w:rPr>
        <w:t>E. 4.4</w:t>
      </w:r>
    </w:p>
    <w:p>
      <w:r>
        <w:t>Pour le reste, l’appelante plaide, dans le même grief, que l'intimé aurait abandonné son poste. Elle ne fait toutefois que substituer son appréciation à celle des premiers juges, sans s'en prendre à leur motivation quant au fait qu'elle aurait licencié l'intimé et singulièrement à leur appréciation de la portée, d'une part, du retrait par l’appelante de l'intimé du groupe WhatsApp de l'entreprise le 6 mai 2022 et, d’autre part, des courriels et messages WhatsApp adressés le même jour. Sur le premier point, l’appelante ne fait qu'indiquer que ce serait l'intimé qui aurait quitté le groupe, sans toutefois étayer son propos en développant un grief de constatation inexacte des faits ou même en indiquant sur quelle preuve elle se fonde. Il n'en va pas différemment de son allégation quant au fait qu'elle aurait tenté de joindre sans succès l'intimé, en raison à son sens du fait que celui-ci l'aurait bloquée ou aurait éteint son téléphone. L’appelante semble vouloir déduire de la requête de conciliation ou encore de la lettre de l'intimé du 8 mai 2022 que ce dernier n'aurait pas voulu reprendre le travail. Cet argument se heurte toutefois au fait qu'il importe peu de déterminer si l'intimé désirait reprendre son travail le 8 mai 2022 s'il avait été licencié avec effet immédiat le 6 mai 2022, cette résiliation</w:t>
      </w:r>
    </w:p>
    <w:p>
      <w:r>
        <w:t>- 19 - constituant un acte formateur irréversible. On relèvera en outre que l’appelante se contredit en relevant, toujours dans la même argumentation, que le licenciement immédiat était justifié. En définitive, son grief est insuffisamment motivé dans la mesure où il ne s'en prend pas à la motivation des premiers juges et doit être déclaré irrecevable.</w:t>
      </w:r>
    </w:p>
    <w:p>
      <w:r>
        <w:rPr>
          <w:b/>
        </w:rPr>
        <w:t>E. 4.5</w:t>
      </w:r>
    </w:p>
    <w:p>
      <w:r>
        <w:t>L’appelante tente également de soutenir que le licenciement immédiat de l'intimé était justifié. De manière laconique, elle expose que « c'était la deuxième fois qu'un acte d'abus de confiance grave et irréversible » était commis par l'intimé, respectivement que la gravité cumulée de l'impact des actions de l'intimé à l’encontre de l’appelante, en « collusion » avec le frère de l'intimé, aurait créé un abus de confiance grave et irréversible qui justifierait la confirmation de la résiliation immédiate. Le grief, qui ne fait ni référence aux actes reprochés à l'intimé, ni n'expose ceux reprochés à son frère, est insuffisamment motivé. La Cour de céans n'est pas en mesure d'évaluer, à défaut d'autres explications, si les actes dont l’appelante tente de se prévaloir seraient de nature à justifier un licenciement immédiat. Partant, le grief est également irrecevable. 5.</w:t>
      </w:r>
    </w:p>
    <w:p>
      <w:r>
        <w:rPr>
          <w:b/>
        </w:rPr>
        <w:t>E. 5</w:t>
      </w:r>
    </w:p>
    <w:p>
      <w:r>
        <w:t>Rejeter le coût de CHF 3'000.00 accordé à la Défenderesse. A titre subsidiaire</w:t>
      </w:r>
    </w:p>
    <w:p>
      <w:r>
        <w:rPr>
          <w:b/>
        </w:rPr>
        <w:t>E. 5.1</w:t>
      </w:r>
    </w:p>
    <w:p>
      <w:r>
        <w:t>L'appelante conteste que son activité, respectivement celle que l'intimé effectuait pour elle, soit soumise à la CCT-SOR.</w:t>
      </w:r>
    </w:p>
    <w:p>
      <w:r>
        <w:rPr>
          <w:b/>
        </w:rPr>
        <w:t>E. 5.2</w:t>
      </w:r>
    </w:p>
    <w:p>
      <w:r>
        <w:t>Le Conseil fédéral a la faculté d'étendre le champ d'application d'une convention collective de travail à tous les employeurs et travailleurs qui appartiennent à la branche économique ou à la profession visée par la convention, mais ne sont pas liés par celle-ci (cf. art. 1 al. 1 et art. 7 al. 1 de la loi fédérale du 28 septembre 1956 permettant d'étendre le champ d'application de la convention collective de travail [LECCT; RS 221.215.311]). Le but de la déclaration d'extension est de créer des conditions de travail minimales identiques pour toutes les entreprises</w:t>
      </w:r>
    </w:p>
    <w:p>
      <w:r>
        <w:t>- 20 - actives sur le même marché, afin d'éviter qu'une entreprise ne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(ATF 134 III 11 consid. 2.2 ; 134 l 269 consid. 6.3.2 ; TF 4A_53/2022 du 30 août 2022 consid. 4.1.1 et réf. cit.). Pour savoir si une entreprise appartient à la branche économique ou à la profession concernée et entre dans le champ d'application de la convention étendue, il faut déterminer concrètement l'activité généralement déployée par l'entreprise en cause (ATF 134 l 269 consid. 6.3.2). Le but social tel qu'énoncé dans les statuts ou le registre du commerce n'est pas déterminant. Est décisive l'activité généralement exercée par l'employeur en question, c'est-à-dire celle qui caractérise son entreprise (ATF 134 III 11 consid. 2.1 ; TF 4A_53/2022 déjà cité consid. 4.1.1).</w:t>
      </w:r>
    </w:p>
    <w:p>
      <w:r>
        <w:rPr>
          <w:b/>
        </w:rPr>
        <w:t>E. 5.3</w:t>
      </w:r>
    </w:p>
    <w:p>
      <w:r>
        <w:t>Le champ d'application de la CCT-SOR a été étendu par arrêtés du Conseil fédéral successifs des 7 mars 2013, 12 juin 2014, 4 février 2016, 7 mars 2017, 29 janvier 2019, 9 janvier 2024 et 16 janvier 2025, ceci jusqu'au 31 décembre 2028. Selon l'art. 1 CCT-SOR, dans sa teneur de 2019 (la teneur actuelle datant de 2024), cette convention s'applique à tous les employeurs, toutes les entreprises et aux secteurs d'entreprise qui exécutent ou font exécuter, à titre principal ou accessoire, des travaux de menuiserie-ébénisterie et charpenterie (let. a), de vitrerie, miroiterie et techniverrerie (let. b), de plâtrerie et peinture (let. e), de carrelage (let. d), de revêtements de sols et pose de parquets (let. e), de couverture (let. f), de revêtements d'intérieur (let. g), de marbrerie (let. h), de sculpture (let. i), de décoration d'intérieur (let. j), de courtepointière (let. k), d'encadrement, montage et réparation de stores (let. l), d'asphaltage (let. m), d'étanchéité (let. n) et de travaux spéciaux en résine (let. o).</w:t>
      </w:r>
    </w:p>
    <w:p>
      <w:r>
        <w:t>- 21 - La convention s'applique au personnel d'exploitation occupé ou loué par les employeurs mentionnés à l'art. 1, y compris les chefs d'équipe et les contremaîtres, indépendamment du mode de rémunération (art. 3 ch. 1 CCT-SOR). Elle ne s'applique toutefois pas aux employés travaillant de manière exclusive dans les parties technique et commerciale de l'entreprise (cf. art. 3 ch. 2 CCT-SOR). Le champ d'application de la CCT-SOR distingue ainsi entre la nature de l'activité, qui est fonction de celle de l'employeur (art. 2 CCT- SOR), et le type d'activité, qui est quant à lui déterminé par celle du travailleur (art. 3 CCT-SOR). Dès lors, si l'activité d'un employeur est visée par au moins une catégorie prévue à l'art. 2 CCT-SOR, son ou ses employé(s) sont, en règle générale, soumis à la CCT-SOR, à moins que ceux-ci ne travaillent exclusivement dans les parties techniques ou commerciale de l'entreprise (cf. art. 3 al. 2 CCT-SOR ; TF 4A_220/2022 du</w:t>
      </w:r>
    </w:p>
    <w:p>
      <w:r>
        <w:rPr>
          <w:b/>
        </w:rPr>
        <w:t>E. 5.4</w:t>
      </w:r>
    </w:p>
    <w:p>
      <w:r>
        <w:t>En l'espèce, l’appelante expose que ses activités sont celles d'un entrepreneur général mettant à disposition de ses clients une plateforme numérique leur permettant de sélectionner diverses entreprises pour les travaux désirés. Elle agirait en conséquence principalement en qualité de soutien administratif et logiciel et les travaux effectués directement par ses soins seraient de moindre envergure. Ces derniers porteraient sur des services de déménagement, de livraison, de montage simple de meubles, de nettoyage ou encore des travaux de bricolage mineurs. Enfin, elle considère que la CCT-SOR ne serait pas applicable aux entreprises générales, si bien qu'à son sens, elle ne serait pas soumise à cette convention. On relèvera qu'il ressort de l'argumentation de l’appelante que certains de ses employées ont agi en qualité « d'hommes à tout faire », respectivement qu'elle est intervenue en qualité d'entreprise générale, sous-traitant des travaux de construction à des entreprises tierces.</w:t>
      </w:r>
    </w:p>
    <w:p>
      <w:r>
        <w:t>- 22 -</w:t>
      </w:r>
    </w:p>
    <w:p>
      <w:r>
        <w:rPr>
          <w:b/>
        </w:rPr>
        <w:t>E. 5.5</w:t>
      </w:r>
    </w:p>
    <w:p>
      <w:r>
        <w:t>Dans un argument complémentaire, qu'il convient d'examiner préalablement, l’appelante paraît soutenir que c'est à tort que les premiers juges auraient examiné d'office l'application de la CCT-SOR au cas d'espèce. L'appelante omet toutefois que cette convention a été étendue et est donc applicable de manière générale à toutes les entreprises dont l'activité entre dans son champ d'application. En conséquence, il s'agit d'une question de droit, et non de fait, si bien que le tribunal peut l'examiner d'office conformément à l'art. 57 CPC (cf. TF 4A_204/2023 du 23 juillet 2024 consid. 5.3).</w:t>
      </w:r>
    </w:p>
    <w:p>
      <w:r>
        <w:rPr>
          <w:b/>
        </w:rPr>
        <w:t>E. 5.6.1</w:t>
      </w:r>
    </w:p>
    <w:p>
      <w:r>
        <w:t>L'appelante, pour exclure sa soumission à la CCT-SOR, se prévaut de ses activités, soit la mise à disposition d'une plateforme, respectivement les petits travaux effectués par ses employés et décrits plus haut (cf. consid. 5.4 supra). Force est de constater que les faits dont elle entend se prévaloir ne figurent pas dans le jugement attaqué. Celui-ci retient que l’appelante est active dans l'exécution d'opérations d'une entreprise générale, soit dans les rénovations, les constructions, les réparations, la gestion des biens et tous travaux professionnels. On n'y trouve pas mention de l'exploitation d'une plateforme informatique ou du fait que les employés n'accompliraient que des tâches très mineures en matière d'installation de mobilier. Certes, s'il ressort de l'extrait du registre du commerce produit en procédure que l’appelante a également comme activité la mise à disposition d'une plateforme en ligne, aucun grief visant à compléter l'état de fait n'a été formulé, si bien que l'autorité d'appel ne saurait en tenir compte. Au surplus, rien ne permet de déterminer que l'exploitation de cette plateforme constituerait l'activité principale de l’appelante, qui a également évoqué agir comme une entreprise générale au sens propre. Il n'en va pas différemment quant aux travaux effectués par les employés, l’appelante n'ayant formulé aucun grief de constatation inexacte des faits à ce titre. Au demeurant, celle-ci ne saurait se fonder uniquement sur les déclarations tenues par sa représentante en première</w:t>
      </w:r>
    </w:p>
    <w:p>
      <w:r>
        <w:t>- 23 - instance relatives au fait que l'intimé avait monté des plafonniers ou des meubles pour l’établir. En effet, le contrat de travail du 18 janvier 2021 par lequel l’appelante a engagé l'intimé en qualité de technicien polyvalent ne décrit pas les tâches demandées, renvoyant à une description du poste qui n'a jamais été produite. Même en présence d'un grief recevable visant à compléter le jugement attaqué, la Cour de céans serait donc bien en peine de déterminer quelles étaient réellement les tâches accomplies par l'intimé. Il en résulte que, l'argumentation de l’appelante se fondant sur des faits qui n'ont pas été intégrés au jugement attaqué, ses griefs ne peuvent qu'être rejetés.</w:t>
      </w:r>
    </w:p>
    <w:p>
      <w:r>
        <w:rPr>
          <w:b/>
        </w:rPr>
        <w:t>E. 5.6.2</w:t>
      </w:r>
    </w:p>
    <w:p>
      <w:r>
        <w:t>Surtout, il ressort du jugement attaqué que les prétentions allouées par les premiers juges ne prennent en réalité pas en compte les aspects financiers de la CCT-SOR. En effet, le salaire brut alloué pour le mois d'avril 2022 par 4'000 fr. correspond au salaire prévu par le contrat du 8 janvier 2021 de même que ceux alloués pour les mois de mai et juin 2022, par 8'000 francs. Le montant alloué pour les vacances non prises par 1'333 fr. 35 aurait été identique si le salaire brut retenu avait été celui convenu contractuellement (cf. pages 27 et 28 du jugement entrepris) ; il n'en va pas différemment pour les heures supplémentaire (cf. pages 29 et 30 du jugement entrepris) ou les cotisations LPP prélevées à tort. L'indemnité pour licenciement avec effet immédiat injustifié a été calculée sur la base du salaire pris en considération par les premiers juges en se fondant sur la CCT-SOR. Toutefois, il convient de rappeler que le juge dispose d'un large pouvoir d'appréciation en la matière (cf. TF 4A_234/2015 du 5 août 2015 consid. 3.2) qui n'apparaît en tous les cas pas dépassé. L'appelante n'offre d'ailleurs aucune argumentation remettant en cause les calculs effectués par les premiers juges, sous réserve de ses griefs liés à l'application de la CCT-SOR. Ceux-ci ne peuvent dès lors qu'être rejetés, également pour les motifs qui précèdent. 6.</w:t>
      </w:r>
    </w:p>
    <w:p>
      <w:r>
        <w:t>- 24 -</w:t>
      </w:r>
    </w:p>
    <w:p>
      <w:r>
        <w:rPr>
          <w:b/>
        </w:rPr>
        <w:t>E. 6</w:t>
      </w:r>
    </w:p>
    <w:p>
      <w:r>
        <w:t>D'annuler la décision du Tribunal de prud'hommes de la Côte du 18 décembre 2024 dans l'affaire n° [...] et de renvoyer l'affaire à l'instance précédente afin de préserver le droit d'être entendu de la Demanderesse dans le sens des considérants. En tout état de cause</w:t>
      </w:r>
    </w:p>
    <w:p>
      <w:r>
        <w:rPr>
          <w:b/>
        </w:rPr>
        <w:t>E. 6.1</w:t>
      </w:r>
    </w:p>
    <w:p>
      <w:r>
        <w:t>Au vu de ce qui précède, l’appel, manifestement infondé, doit être rejeté, dans la mesure de sa recevabilité, selon la procédure de l’art. 322 al. 1 in fine CPC, et le jugement doit être confirmé.</w:t>
      </w:r>
    </w:p>
    <w:p>
      <w:r>
        <w:rPr>
          <w:b/>
        </w:rPr>
        <w:t>E. 6.2</w:t>
      </w:r>
    </w:p>
    <w:p>
      <w:r>
        <w:t>Il n’est pas perçu de frais judiciaires de deuxième instance, le litige portant sur un contrat de travail avec une valeur litigieuse n’excédant pas 30'000 fr. (art. 114 let. c CPC).</w:t>
      </w:r>
    </w:p>
    <w:p>
      <w:r>
        <w:rPr>
          <w:b/>
        </w:rPr>
        <w:t>E. 6.3</w:t>
      </w:r>
    </w:p>
    <w:p>
      <w:r>
        <w:t>Il n’y a pas lieu à l’allocation de dépens, l’intimé n’ayant pas été invité à déposer une réponse.</w:t>
      </w:r>
    </w:p>
    <w:p>
      <w:r>
        <w:rPr>
          <w:b/>
        </w:rPr>
        <w:t>E. 7</w:t>
      </w:r>
    </w:p>
    <w:p>
      <w:r>
        <w:t>D'ordonner à [...] de prouver par tous les moyens légaux utiles la véracité des faits développés dans le cadre de la présente action.</w:t>
      </w:r>
    </w:p>
    <w:p>
      <w:r>
        <w:rPr>
          <w:b/>
        </w:rPr>
        <w:t>E. 8</w:t>
      </w:r>
    </w:p>
    <w:p>
      <w:r>
        <w:t>Condamner A.C.________ au paiement de tous les frais et indemnités.</w:t>
      </w:r>
    </w:p>
    <w:p>
      <w:r>
        <w:rPr>
          <w:b/>
        </w:rPr>
        <w:t>E. 9</w:t>
      </w:r>
    </w:p>
    <w:p>
      <w:r>
        <w:t>Rejeter toute autre conclusion ou toute conclusion contraire d'A.C.________.</w:t>
      </w:r>
    </w:p>
    <w:p>
      <w:r>
        <w:rPr>
          <w:b/>
        </w:rPr>
        <w:t>E. 10</w:t>
      </w:r>
    </w:p>
    <w:p>
      <w:r>
        <w:t>a) Par formulaire de demande simplifiée du 1er septembre 2022, l’intimé a validé les conclusions prises en conciliation. Par réponse du 7 décembre 2022, l’appelante a conclu, avec suite de frais et dépens, au rejet des conclusions de la demande. Par « mémoire de réponse (recte : réplique) » et duplique des 31 janvier et 7 juin 2023 respectivement, chaque partie a confirmé ses conclusions. Le 5 avril 2024, l’appelante a déposé des « déterminations spontanées », a introduit une dizaine d’allégués nouveaux et a produit trois pièces nouvelles sous bordereau. b) A l’audience du 23 avril 2024, l’intimé a produit un lot de six pièces nouvelles. L’intimé a en outre précisé ses conclusions en ce sens qu’il soit constaté que l’appelante avait résilié son contrat de travail avec effet immédiat, mais de manière injustifiée (ch. I et II) et que l’appelante soit condamnée à lui verser un montant de 8'000 fr. brut pour les mois de mai et juin 2022 à titre de délai de congé (ch. III), un montant de 1'333 fr. 35 pour congés manqués (ch. IV), un montant de 340 fr. pour la part patronale LPP non payée des mois de mai et juin 2022 (ch. V), un montant de 12'000 fr. brut à titre d’indemnité punitive et réparatrice (ch. VI), un</w:t>
      </w:r>
    </w:p>
    <w:p>
      <w:r>
        <w:t>- 9 - montant de 900 fr. pour les heures supplémentaires effectuées pendant la durée du contrat (ch. VII), un montant de 4'000 fr. brut pour le salaire du mois d’avril 2022 (ch. VIII) et un montant de 3'249 fr. 85 pour les avoirs de prévoyance professionnelle manquants (ch. IX). L’appelante a conclu au rejet desdites conclusions et a modifié ses propres conclusions en ce sens qu’elle a conclu reconventionnellement à ce qu’il soit constaté que l’intimé avait résilié son contrat de travail avec effet immédiat, mais de manière injustifiée (ch. II) et à ce que l’intimé soit condamné à lui verser des montants de 4'000 fr. à titre de « délai de congé » (ch. III), 2'080 fr. 80 pour 103 « heures négatives » (ch. IV), 579 fr. pour un dommage découlant de son intervention chez un client (ch. V) et 8'000 fr. à titre de dommages et intérêts liés à la résiliation injustifiée du contrat de travail avec effet immédiat (ch. VI). L’intimé a soulevé la tardiveté des conclusions prises par l’appelante et a conclu à leur rejet. E n d r o it : 1.</w:t>
      </w:r>
    </w:p>
    <w:p>
      <w:r>
        <w:rPr>
          <w:b/>
        </w:rPr>
        <w:t>E. 15</w:t>
      </w:r>
    </w:p>
    <w:p>
      <w:r>
        <w:t>avril 2019 consid. 3.4).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 TF 4A_426/2019 du 12 septembre 2019 consid. 5.1 ; JdT 2012 III 23). S’agissant de conclusions pécuniaires, l’appel doit en outre contenir des conclusions chiffrées (ATF 137 III 617 précité consid. 4 ; TF 5A_978/2018 précité consid. 1.2). Si l’appelant invoque une violation du droit d’être entendu, des conclusions réformatoires doivent être prises si l’autorité d’appel envisage de guérir elle-même le vice et réformer la décision (TF 5A_485/2016 du 19 septembre 2016 consid. 2.3). Il ne saurait être remédié à des conclusions déficientes par la fixation d’un délai de l’art. 132 CPC, de tels vices n’étant pas d’ordre purement formel et affectant l’appel de façon irréparable (ATF 137 III 617 précité consid. 6.4 ; TF 4A_659/2011 précité consid. 5 in SJ 2012 I 31). Il peut toutefois être remédié à des conclusions formellement déficientes, lorsqu’on comprend à la lecture de la motivation ce que demande l’appelant, respectivement à quel montant il prétend (ATF 137 III 617 consid. 6.2 ; TF 5A_164/2019 du 20 mai 2020 consid. 4.3 ; Colombini, CPC Condensé de jurisprudence, 2018, n. 9.3.1 ad art. 311 CPC et réf. cit.).</w:t>
      </w:r>
    </w:p>
    <w:p>
      <w:r>
        <w:rPr>
          <w:b/>
        </w:rPr>
        <w:t>E. 19</w:t>
      </w:r>
    </w:p>
    <w:p>
      <w:r>
        <w:t>octobre 2022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