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P322.035118 vom 14. Februar 2025</w:t>
      </w:r>
    </w:p>
    <w:p>
      <w:r>
        <w:t>VD Tribunal cantonal, 2025-02-14, FR</w:t>
      </w:r>
    </w:p>
    <w:p>
      <w:r>
        <w:rPr>
          <w:b/>
        </w:rPr>
        <w:t xml:space="preserve">Quelle: </w:t>
      </w:r>
      <w:r>
        <w:t>https://mcp.opencaselaw.ch/entscheid/vd_gerichte_P322.035118</w:t>
      </w:r>
    </w:p>
    <w:p>
      <w:r>
        <w:t>FR: VD_GERICHTE P322.035118 du 14 février 2025</w:t>
      </w:r>
    </w:p>
    <w:p>
      <w:r>
        <w:t>IT: VD_GERICHTE P322.035118 del 14 febbraio 2025</w:t>
      </w:r>
    </w:p>
    <w:p>
      <w:pPr>
        <w:pStyle w:val="Heading2"/>
      </w:pPr>
      <w:r>
        <w:t>Erwägungen</w:t>
      </w:r>
    </w:p>
    <w:p>
      <w:r>
        <w:rPr>
          <w:b/>
        </w:rPr>
        <w:t>E. 2</w:t>
      </w:r>
    </w:p>
    <w:p>
      <w:r>
        <w:t>CPC (ATF 138 III 625 consid. 2.2 ; TF 4A_415/2015 du 22 août 2016 consid. 3.5). Il est précisé à cet égard que le nouvel art. 317 al. 1bis CPC, prévoyant l'admission des novas jusqu'aux délibérations dans le cadre de la procédure d'appel, n'est applicable que dans les affaires soumises à la maxime inquisitoire illimitée (Message relatif à la modification du code de procédure civile suisse du 26 février 2020, FF 2020, 2679 et s. ad art. 317 al. 1bis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Si un point est critiqué et motivé et que la Cour d’appel peut donc entrer en matière, elle est ensuite libre dans l’application du droit</w:t>
      </w:r>
    </w:p>
    <w:p>
      <w:r>
        <w:t>- 12 -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(ATF 144 III 462 consid 3.2.2 ; TF 4A_218/2017 du 14 juillet 2017 consid. 3.1.2 ; cf. parmi d'autres CACI 24 juin 2024/285 consid. 3.1). L’art. 29a Cst. (Constitution fédérale de la Confédération suisse du 18 avril 1999 ; RS 101) n’interdit pas une telle substitution de motifs (TF 4A_278/2020 du 9 juillet 2020 consid. 2.3.3, RSPC 2020 p. 510).</w:t>
      </w:r>
    </w:p>
    <w:p>
      <w:r>
        <w:rPr>
          <w:b/>
        </w:rPr>
        <w:t>E. 2.2.1</w:t>
      </w:r>
    </w:p>
    <w:p>
      <w:r>
        <w:t>et les réf. citées ; jurisprudence encore confirmée in TF 4A_116/2018 du 28 mars 2019 consid. 4.1 qui a nié la validité d’une clause de prohibition de concurrence concernant un gestionnaire de fortune). Une clause de prohibition de concurrence, fondée sur la connaissance de la clientèle, ne se justifie en effet que si l'employé, grâce à sa connaissance des clients réguliers et de leurs habitudes, peut facilement leur proposer des prestations analogues à celles de l'employeur et ainsi les détourner de celui-ci. Ce n'est que dans une situation de ce genre que, selon les termes</w:t>
      </w:r>
    </w:p>
    <w:p>
      <w:r>
        <w:t>- 15 -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III 67 consid. 2.2.1 ; TF 4A_468/206 du 6 février 2017 consid. 3.1).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(ATF 138 III 67 consid. 2.2.1 ; TF 4A_116/2018 précité consid. 4.1). La jurisprudence exige en outre qu'il y ait une relation de causalité adéquate entre les connaissances acquises et le risque de causer un préjudice sensible à l'ancien employeur (TF 4A_116/2018 précité consid. 4.1 ; TF 4A_466/2012 du 12 novembre 2012 consid. 3.2 et 4.1). Tel n’est notamment pas le cas, comme vu ci-dessus, lorsque la personnalité de l'employé revêtait pour le client une importance prépondérante. Dire si tel est le cas dépend des circonstances (ATF 138 III 67 consid. 2.2.1 ; TF 4A_116/2018 précité consid. 4.1). C’est à l’employeur, qui entend invoquer des droits résultant de l’application d’une clause de prohibition de concurrence, de démontrer d’une part les faits permettant de retenir la validité de dite clause (cf. art.</w:t>
      </w:r>
    </w:p>
    <w:p>
      <w:r>
        <w:rPr>
          <w:b/>
        </w:rPr>
        <w:t>E. 2.2.2</w:t>
      </w:r>
    </w:p>
    <w:p>
      <w:r>
        <w:t>A l'appui de son acte, l'appelante a produit, outre une pièce de forme, un document de plusieurs pages intitulé "fichier excel mentionnant tous les clients de Q.________". Faute pour l'appelante d’exposer en quoi</w:t>
      </w:r>
    </w:p>
    <w:p>
      <w:r>
        <w:t>- 13 - cette pièce remplirait les conditions posées par l’art. 317 CPC et la procédure n'étant pas soumise à la maxime inquisitoire illimitée, elle est irrecevable. Au demeurant, consistant en une liste produite par l’appelante, non datée ni signée, elle n’a aucune valeur probante. Les faits que l’appelante en tire sont partant irrecevables.</w:t>
      </w:r>
    </w:p>
    <w:p>
      <w:r>
        <w:rPr>
          <w:b/>
        </w:rPr>
        <w:t>E. 3</w:t>
      </w:r>
    </w:p>
    <w:p>
      <w:r>
        <w:t>L’appelante égrène à travers son appel des faits qui n’ont pas été constatés par l’autorité précédente. Faute de les accompagner d’un grief d’omission inexacte des faits et de référence à des preuves les établissant (cf. art. 311 al. 1 CPC), ils sont irrecevables.</w:t>
      </w:r>
    </w:p>
    <w:p>
      <w:r>
        <w:rPr>
          <w:b/>
        </w:rPr>
        <w:t>E. 4.1</w:t>
      </w:r>
    </w:p>
    <w:p>
      <w:r>
        <w:t>L’appelante conteste ensuite les différents motifs retenus par l’autorité précédente l'ayant conduit à estimer que l’intimé n’avait pas violé la clause de prohibition de concurrence.</w:t>
      </w:r>
    </w:p>
    <w:p>
      <w:r>
        <w:rPr>
          <w:b/>
        </w:rPr>
        <w:t>E. 4.2</w:t>
      </w:r>
    </w:p>
    <w:p>
      <w:r>
        <w:t>Aux termes de l’art. 340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Conformément à l’art. 340a CO, la prohibition doit être limitée convenablement quant au lieu, au temps et au genre d’affaires, de façon à ne pas compromettre l’avenir économique du travailleur contrairement à l’équité ; elle ne peut excéder trois ans qu’en cas de circonstances particulières (al. 1). Le juge peut réduire selon sa libre appréciation une prohibition excessive, en tenant compte de toutes les circonstances ; il aura égard, d’une manière équitable, à une éventuelle contreprestation de l’employeur (al. 2). Une prohibition de faire concurrence qui contraindrait le travailleur à changer de profession est sans valeur. Une telle obligation compromettrait en effet l’avenir économique du travailleur contrairement à l’équité, ce que la loi défend (ATF 101 II 277 consid. 1a in fine). La</w:t>
      </w:r>
    </w:p>
    <w:p>
      <w:r>
        <w:t>- 14 - prohibition de faire concurrence n'est en outre valable que si les rapports de travail permettent au travailleur d'avoir connaissance de la clientèle ou de secrets de fabrication ou d'affaires de l'employeur et si l'utilisation de ces renseignements est de nature à causer à l'employeur un préjudice sensible (art. 340 al. 2 CO). 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 dans ce cas, en effet, la connaissance que l'employé possède de la clientèle ne lui procure pas, à elle seule, le moyen de rompre ou de distendre le lien existant entre l'employeur et sa clientèle (ATF 78 II 39 consid. 1 et les arrêts cités, jurisprudence reprise in ATF 138 III 67 consid. 2.2.1). Ultérieurement, la jurisprudence a eu l'occasion de se pencher sur la situation inverse, à savoir le cas où une relation personnelle était établie entre le client et l'employé lui-même, en l'occurrence un dentiste.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(TF 4C.100/2006 du 13 juillet 2007 consid. 2.6). Cette jurisprudence a été confirmée et approuvée par la doctrine unanime pour les cas où la relation entre la clientèle et l'employé repose essentiellement sur les capacités personnelles de ce dernier et relègue à l'arrière-plan l'identité de l'employeur (ATF 138 III 67 consid.</w:t>
      </w:r>
    </w:p>
    <w:p>
      <w:r>
        <w:rPr>
          <w:b/>
        </w:rPr>
        <w:t>E. 4.3.1</w:t>
      </w:r>
    </w:p>
    <w:p>
      <w:r>
        <w:t>En l’occurrence, le premier juge relève avant tout que l’appelante reproche à l’intimé d’avoir démarché trois clients, à savoir les sociétés B.________SA, W.________SA et K.________SA. L’appelante n’en cite pas d’autres dans son appel. Or il ressort du témoignage de P.________, employé de l’appelante, que l’intimé, avant de travailler pour elle, travaillait pour H.________SA, également active dans le placement de personnel fixe et temporaire, et qui avait déjà pour clients B.________SA, W.________SA et K.________SA. Comme le relève l’appelante (appel, p. 14), l’intimé a quant à lui attesté avoir amené ces trois sociétés comme clientes lorsqu’il a commencé à travailler pour elle. Conformément à la jurisprudence qui précède, il incombait donc à l’appelante non seulement d’apporter la preuve de son cercle de clientèle mais également la preuve du fait que c’étaient les rapports de travail entre elle et l’intimé qui avaient permis à celui-ci d’en avoir connaissance. L’appelante ne saurait à cet égard s’y soustraire en invoquant que l’intimé n’aurait pas requis d’elle la mention d’une réserve concernant l’une ou l’autre société et que dès lors la clause s’appliquerait à tous les clients de l’appelante. Une telle argumentation est contraire à la jurisprudence qui précède et à l’exigence, dont le fardeau de la preuve repose sur l’employeur, de preuve que ce sont les rapports de travail qui ont permis à l’employé de connaitre le cercle de clientèle litigieux. Quel que soit le libellé de la clause, il est ainsi exclu de l’appliquer à une clientèle que l’employé connaissait déjà et conseillait lors de sa prise</w:t>
      </w:r>
    </w:p>
    <w:p>
      <w:r>
        <w:t>- 18 - d’emploi pour l’appelante. Que l’employé ait touché, sans indication d’une société ou d’une autre, une indemnité pour clause de non-concurrence pendant les rapports de travail n’exempte pas non plus l’appelante d’apporter cette preuve pour les sociétés précitées notamment. Enfin, il résulte de la jurisprudence qui précède que la question n’est pas seulement pour l’employeur d’établir qu’il avait déjà comme client certaines sociétés, mais également, et particulièrement dans le domaine du placement intermédiaire où les employés vont et viennent d’une société de placement à l’autre et où les clients eux-mêmes sollicitent plusieurs agences de placement différentes sans exclusivité, de démontrer que c’est par les rapports de travail que l’employé a pu avoir connaissance de ces sociétés et tisser avec elles des rapports.</w:t>
      </w:r>
    </w:p>
    <w:p>
      <w:r>
        <w:rPr>
          <w:b/>
        </w:rPr>
        <w:t>E. 4.3.2.1</w:t>
      </w:r>
    </w:p>
    <w:p>
      <w:r>
        <w:t>S’agissant tout d’abord de la société K.________SA, l’appelante invoque qu’elle l’aurait eu comme cliente avant l’arrivée à son service de l’intimé, le 1er février 2014. Elle se réfère sur ce point uniquement à la pièce 27. Les factures produites sous cette pièce ne concernent pas la société K.________SA et sont donc impropres à démontrer que cette société était déjà cliente de l’appelante avant l’entrée en service de l’intimé. Au surplus, le témoin Y.________, collaborateur au sein de K.________SA, a indiqué qu’il ne connaissait pas l’appelante avant que l’intimé y travaille et a insisté sur le fait qu’il connaissait celui-ci avant celle-là. Son témoignage ne prête pas lieu à suspicion, n’étant notamment pas contesté par l’appelante qui s’y réfère elle-même (appel, p. 11), de sorte qu’il sera ici retenu comme probant. C’est dire que l’intimé connaissait déjà, professionnellement notamment, la société K.________SA avant son arrivée auprès de l’appelante. Il n’est ainsi pas établi, faute de preuve contraire, que l’intimé aurait eu connaissance de cette cliente ou pu lier des contacts avec elle grâce à son travail pour l’appelante. La clause de non-concurrence, fût-elle valable – question qui souffrira de rester ouverte –, n’est donc clairement pas applicable pour les relations qui auraient été tissées entre cette société et l’intimé après le départ de ce dernier de l’appelante.</w:t>
      </w:r>
    </w:p>
    <w:p>
      <w:r>
        <w:t>- 19 -</w:t>
      </w:r>
    </w:p>
    <w:p>
      <w:r>
        <w:rPr>
          <w:b/>
        </w:rPr>
        <w:t>E. 4.3.2.2</w:t>
      </w:r>
    </w:p>
    <w:p>
      <w:r>
        <w:t>S’agissant ensuite de la société B.________SA, le témoin K.________, anciennement employé par cette société jusqu’en septembre 2021 environ et qui s’occupait des intérimaires, a indiqué, lors de son audition du 28 septembre 2023, connaitre l’intimé depuis une quinzaine d’années et le contacter directement lorsqu’il avait besoin d’intermédiaire, sans se préoccuper de qui était l’employeur de l’intimé. A nouveau, rien ne permet de douter du caractère probant des déclarations de ce témoin, l’appelante s’y référant d’ailleurs également sans émettre aucune critique (appel, p. 10). Dans ces conditions, au vu de ce témoignage et en l’absence de toute preuve contraire, il y a lieu de constater que dès lors que les contacts de ce témoin, travaillant alors chez B.________SA, avec l’intimé remontaient à une quinzaine d’années, lors de son audition en 2023, ils étaient antérieurs à la prise d’emploi de l’intimé auprès de l’appelante en février 2014. L’intimé n’a donc pas créé des contacts avec B.________SA par le biais de l’appelante. La clause de non-concurrence, fût- elle valable, n’est donc clairement pas non plus applicable pour les relations qui auraient été tissées entre cette société et l’intimé après le départ de ce dernier de l’appelante.</w:t>
      </w:r>
    </w:p>
    <w:p>
      <w:r>
        <w:rPr>
          <w:b/>
        </w:rPr>
        <w:t>E. 4.3.2.3</w:t>
      </w:r>
    </w:p>
    <w:p>
      <w:r>
        <w:t>Enfin, s’agissant de W.________SA, l’intimé a déclaré lors de son audition avoir amené ce client, avec les deux sociétés précitées, lorsqu’il a commencé à travailler pour l’appelante. L’appelante n’a pas démontré le contraire, ce qui lui aurait permis d’établir que c’est par les rapports de travail avec elle que l’intimé aurait pu connaitre et se lier à ce client. Or, elle supportait le fardeau d’une telle preuve. Dans ces circonstances, la clause de non-concurrence ne trouve pas non plus application à ce client. Au demeurant, à supposer que la clause s’applique à cette société, l’appelante devait encore démontrer que l’intimé, concernant cette société, aurait violé la clause de non-concurrence durant sa validité. Vu la durée de validité d’un an après la fin des rapports de travail prévue par l’art. 12 du contrat de travail et la fin des rapports de travail au 31 janvier 2021, cette clause n’était tout au plus valable que jusqu’au 31 janvier 2022.</w:t>
      </w:r>
    </w:p>
    <w:p>
      <w:r>
        <w:t>- 20 - Or, à cet égard, l’autorité précédente a constaté que les témoignages recueillis n’avaient pas permis de confirmer ou d’infirmer que l’intimé et son nouvel employeur A.________SA auraient procédé à des placements de personnel pour cette société. L’appelante conteste ce constat en invoquant les pièces 9, 30 à 33 et 51, ce sans faire de détail entre les sociétés censées avoir été approchées par l’intimé. Aucune de ces pièces ne concerne W.________SA. L’appelante se réfère au consid. 2b de l’ordonnance de mesures provisionnelles du 7 octobre 2021. Il est toutefois inexact de soutenir qu’il en résulterait que l’intimé y aurait reconnu travailler avec W.________SA. En l’occurrence, il s’agit des entreprises K.________SA et B.________SA, que l’intimé conseillait déjà avant de travailler pour l’appelante. Un contact entre ces sociétés et l’intimé ne saurait partant fonder une violation de la clause de prohibition de concurrence, qui plus est concernant la société W.________SA.</w:t>
      </w:r>
    </w:p>
    <w:p>
      <w:r>
        <w:rPr>
          <w:b/>
        </w:rPr>
        <w:t>E. 4.3.3</w:t>
      </w:r>
    </w:p>
    <w:p>
      <w:r>
        <w:t>Enfin, la décision attaquée ne constate pas qui étaient les personnes que l’appelante plaçait auprès de ses clients avant l’arrivée de l’intimé en son sein ou quel personnel temporaire elle a acquis durant le temps d’activité de l’intimé pour elle. L’appelante n’invoque aucune omission inexacte des faits à cet égard. Dans ces conditions, il est exclu de considérer que l’intimé aurait violé la clause de non-concurrence en plaçant, après avoir quitté l’appelante, auprès de sociétés qu’il conseillait déjà avant de travailler pour elle, des personnes qui avaient été placées par lui lorsqu'il travaillait pour l’appelante. Rien ne dit en effet que l’intimé n’ait pas connu ce personnel temporaire avant de travailler pour l’appelante. Or, le fardeau de la preuve à cet égard reposait également sur l’appelante. 5. 5.1 L’appelante rappelle que la violation de l’art. 11 du contrat de travail qui concerne le secret professionnel donnait aussi droit à</w:t>
      </w:r>
    </w:p>
    <w:p>
      <w:r>
        <w:t>- 21 - l’indemnité de 30'000 fr., conformément à l’art. 12 du contrat. Elle reproche donc à l’autorité de ne pas avoir expliqué pour quel motif elle n’avait pas retenu une violation du secret professionnel prévu par l’art. 11 du contrat. Estimant que l’autorité précédente n’a pas examiné ce point, elle invoque une violation de son droit d’être entendue. 5.2 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 (ATF 144 I</w:t>
      </w:r>
    </w:p>
    <w:p>
      <w:r>
        <w:rPr>
          <w:b/>
        </w:rPr>
        <w:t>E. 8</w:t>
      </w:r>
    </w:p>
    <w:p>
      <w:r>
        <w:t>CC), d’autre part les faits permettant de retenir sa violation (dans ce</w:t>
      </w:r>
    </w:p>
    <w:p>
      <w:r>
        <w:t>- 16 - sens TF 4A_417/2008 du 3 décembre 2008 consid. 3.3). Il appartient en particulier à l'employeur d'établir que les connaissances litigieuses sont objectivement secrètes et qu'il entend qu'elles ne soient pas divulguées à l'extérieur de l'entreprise (TF 4A_283/2010 du 11 août 2010 consid. 2.1 ; TF 4A_31/2010 du 16 mars 2010 consid. 2.1 et les réf. citées ; Wyler/Heinzer, Droit du travail, 4ème éd., Berne 2019, p. 912 ; Aubert, Commentaire romand, Code des obligations I, 2ème éd., Bâle 2012, n. 6 ad art. 340 CO). La preuve du cercle de la clientèle ou des secrets de fabrication ou d’affaire et la preuve du fait que les rapports de travail permettaient d’en avoir connaissance incombent également à l’employeur qui entend faire valoir la clause de non-concurrence (dans ce sens Favre/Munoz/Tobler, Le contrat de travail, Code annoté, Lausanne 2010, n° 2.10 ad art. 340 CO). Il appartient cependant à l’employé dont le contrat comprend une clause de prohibition de concurrence d’expliquer en détail dans la procédure que les tâches qui lui étaient effectivement assignées étaient comparables aux professions libérales, s’il entend faire valoir que la clause n’est pas valable (TF 4A_209/2008 du 31 juillet 2008 consid. 2.2). Dans une affaire récente, la Cour de céans a ainsi constaté que la clause de prohibition de concurrence invoquée par l’employeur – eût- elle été valable malgré le rapport personnel existant entre l’employé et les clients –, ne pouvait l’être d’une part que pour une clientèle qui était déjà celle de l’employeur lorsque l’employé a commencé à travailler pour lui et, d’autre part, pour une clientèle que l’employeur avait acquise par la suite. Il était en revanche exclu d’appliquer une telle clause à une clientèle que l’employé connaissait déjà bien pour la suivre et la conseiller personnellement depuis de nombreuses années. En effet, dans un tel cas, on ne pouvait retenir que c’était les rapports de travail liant les parties qui avaient permis à l’employé d’avoir connaissance d’une clientèle et de ses particularités – déjà connues lors de son entrée en service. Pour de tels clients, arrivés comme clients de l’employeur avec l’intimé, la clause de prohibition de concurrence prévue dans le contrat de travail n'était pas valable. Dans ces conditions, la Cour de céans a estimé que l’employeur ne pouvait se borner à fournir une liste de clients prétendument détournés</w:t>
      </w:r>
    </w:p>
    <w:p>
      <w:r>
        <w:t>- 17 - lors du départ de l’employé, mais devait alléguer et établir la clientèle tombant sous le coup de la clause de prohibition de concurrence sur laquelle il fondait ses prétentions pécuniaires contre l’employé. Il devait ainsi alléguer et établir le nom des clients qu’il avait déjà lors de l’arrivée de l’employé ou le nom des clients acquis ensuite que l’employé aurait ainsi pu, par son travail pour lui, connaître, respectivement acquérir (CACI</w:t>
      </w:r>
    </w:p>
    <w:p>
      <w:r>
        <w:rPr>
          <w:b/>
        </w:rPr>
        <w:t>E. 9</w:t>
      </w:r>
    </w:p>
    <w:p>
      <w:r>
        <w:t>mars 2021/113 consid. 3.4). Le Tribunal fédéral a confirmé le raisonnement de la Cour d'appel civile dans son arrêt du 20 décembre 2021 (TF 4A_205/2021 consid. 4.3).</w:t>
      </w:r>
    </w:p>
    <w:p>
      <w:r>
        <w:rPr>
          <w:b/>
        </w:rPr>
        <w:t>E. 11</w:t>
      </w:r>
    </w:p>
    <w:p>
      <w:r>
        <w:t>consid. 5.3 ; ATF 137 1195 consid. 2.2).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5A_923/2018 précité consid. 4.2.1 in fine).</w:t>
      </w:r>
    </w:p>
    <w:p>
      <w:r>
        <w:t>- 22 - 5.3 En l’occurrence, l’appelante ne dit pas où elle aurait soulevé une violation du secret professionnel, et non pas seulement de la clause de prohibition de concurrence, et les faits y relatifs, et cela ne ressort pas de ses écritures. Dans ces conditions, on ne saurait reprocher à l’autorité précédente de n’avoir pas traité un moyen que l'appelante n’avait pas soulevé. Le grief de violation de son droit d’être entendue est ainsi infondé. Pour le surplus, on ne voit pas, au vu notamment de ce qui précède, qu’une violation du secret professionnel aurait dû être retenue. L’appelante n’en dit rien, malgré l’obligation de motivation qui lui incombe. Dans ces circonstances, on ne saurait admettre une telle violation, étant rappelé que le pouvoir de la Cour de céans n’est limité ni en fait ni en droit et qu’une éventuelle violation du droit d’être entendu aurait donc pu être réparée en appel. 6. Ce qui précède rend sans objet les autres griefs soulevés par l’appelante et notamment la question de la portée géographique de la clause de non-concurrence et rend donc inutile l’audition requise sur ce point de Mme D.________. Le grief relatif à l’importance de la personnalité de l’intimé dans les rapports avec les clients et donc la validité de la clause de prohibition de concurrence est également sans objet. Ce dernier grief est au demeurant fondé sur des faits irrecevables car non constatés dans la décision attaquée, non accompagnés d’un grief de constatation inexacte des faits et qui ne sauraient être qualifiés de notoires. Dès lors qu’aucune violation de la clause de non-concurrence ne peut être retenue, le fait que le respect de cette clause soit ou non mentionné dans le certificat de travail est sans portée et donc le grief y afférant sans objet. Au demeurant, un renvoi à ses écritures passées ne constitue pas une motivation recevable. Dans ces conditions, il n’y a pas non plus lieu d’entendre la témoin D.________ sur cette question. Enfin, la question de savoir si la clause aurait été inapplicable du fait d’une résiliation pour justifs motifs par l’intimé est ici également sans pertinence.</w:t>
      </w:r>
    </w:p>
    <w:p>
      <w:r>
        <w:t>- 23 - 7. Vu ce qui précède, l’appel, manifestement mal fondé, doit être rejeté selon le mode procédural de l’art. 312 al. 1 in fine CPC, et la décision attaquée confirmée. Il n’est pas perçu de frais judiciaires de deuxième instance, le litige portant sur un contrat de travail avec une valeur litigieuse n’excédant pas 30'000 francs (art. 114 let. c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