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P321.028898 vom 26. Januar 2022</w:t>
      </w:r>
    </w:p>
    <w:p>
      <w:r>
        <w:t>VD Tribunal cantonal, 2022-01-26, FR</w:t>
      </w:r>
    </w:p>
    <w:p>
      <w:r>
        <w:rPr>
          <w:b/>
        </w:rPr>
        <w:t xml:space="preserve">Quelle: </w:t>
      </w:r>
      <w:r>
        <w:t>https://mcp.opencaselaw.ch/entscheid/vd_gerichte_P321.028898</w:t>
      </w:r>
    </w:p>
    <w:p>
      <w:r>
        <w:t>FR: VD_GERICHTE P321.028898 du 26 janvier 2022</w:t>
      </w:r>
    </w:p>
    <w:p>
      <w:r>
        <w:t>IT: VD_GERICHTE P321.028898 del 26 gennaio 2022</w:t>
      </w:r>
    </w:p>
    <w:p>
      <w:pPr>
        <w:pStyle w:val="Heading2"/>
      </w:pPr>
      <w:r>
        <w:t>Erwägungen</w:t>
      </w:r>
    </w:p>
    <w:p>
      <w:r>
        <w:rPr>
          <w:b/>
        </w:rPr>
        <w:t>E. 2</w:t>
      </w:r>
    </w:p>
    <w:p>
      <w:r>
        <w:t>Pour être recevable, le recours doit être motivé (art. 321 al. 1 in initio CPC [Code de procédure civile du 19 décembre 2008 ; RS 272]). La motivation doit, à tout le moins, satisfaire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w:t>
      </w:r>
    </w:p>
    <w:p>
      <w:r>
        <w:t>- 3 - l’instance de recours puisse la comprendre aisément, ce qui suppose une désignation précise des passages de la décision que le recourant attaque et des pièces du dossier sur lesquelles repose sa critique (ATF 141 III 569 consid. 2.3.3 et les références citées ; sur le tout, TF 5D_43/2019 du 24 mai 2019 consid. 3.2.2.1). En outre, le recours doit contenir, sous peine d’irrecevabilité, des conclusions, en annulation ou au fond, soit ce que la partie veut que le tribunal lui alloue dans sa décision (CREC 1er novembre 2021/294 ;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 Jeandin, Commentaire romand, Code de procédure civile, 2e éd.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JdT 2014 II 187 ; CREC 11 juillet 2014/238).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 Jeandin, op. cit., n. 4 ad art. 321 CPC et n. 5 ad art. 311 CPC par analogie). En particulier, l’exigence de conclusions chiffrées sous peine d’irrece- vabilité du recours contre le prononcé sur frais ne constitue pas un formalisme excessif (TF 4D_61/2011 du 26 octobre 2011 consid. 2.3, RSPC 2012 p. 92).</w:t>
      </w:r>
    </w:p>
    <w:p>
      <w:r>
        <w:t>- 4 -</w:t>
      </w:r>
    </w:p>
    <w:p>
      <w:r>
        <w:rPr>
          <w:b/>
        </w:rPr>
        <w:t>E. 2.3</w:t>
      </w:r>
    </w:p>
    <w:p>
      <w:r>
        <w:t>En l’espèce, le recourant a indiqué, pour toutes conclusions, qu’il maintenait que son licenciement était injustifié et abusif et qu’il maintenait ses réclamations, alors qu’il a obtenu le salaire pour le mois de février 2021, dont le montant ne correspond pas à celui qu’il demandait. Dans ces circonstances, le fait de renvoyer à ses conclusions de première instance ne suffit pas. Les conclusions, non chiffrées, doivent donc être déclarées irrecevables. Au surplus, le recourant revient sur les faits de la cause, sans toutefois discuter, au moins de manière succincte, les considérants du jugement attaqué et sans expliquer en quoi les faits dont il se prévaut aurait une incidence sur l’issue de la cause. Force est dès lors de constater que la motivation du recours est insuffisante.</w:t>
      </w:r>
    </w:p>
    <w:p>
      <w:r>
        <w:rPr>
          <w:b/>
        </w:rPr>
        <w:t>E. 3</w:t>
      </w:r>
    </w:p>
    <w:p>
      <w:r>
        <w:t>En définitive, le recours doit être déclaré irrecevable. Il ne sera pas perçu de frais judiciaires de deuxième instance (art. 114 let. e CPC), ni alloué de dépens, l’intimée n’ayant pas été invitée à se déterminer sur le recours. Par ces motifs, la Chambre des recours civile du Tribunal cantonal, en application de l’art. 322 al. 1 CPC, prononce : I. Le recours est irrecevable. II. L’arrêt, rendu sans frais, est exécutoire. Le président : La greffière :</w:t>
      </w:r>
    </w:p>
    <w:p>
      <w:r>
        <w:t>- 5 - Du L'arrêt qui précède, dont la rédaction a été approuvée à huis clos, est notifié à : - M. G.________ - W.________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