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P321.021128 vom 5. April 2023</w:t>
      </w:r>
    </w:p>
    <w:p>
      <w:r>
        <w:t>VD Tribunal cantonal, 2023-04-05, FR</w:t>
      </w:r>
    </w:p>
    <w:p>
      <w:r>
        <w:rPr>
          <w:b/>
        </w:rPr>
        <w:t xml:space="preserve">Quelle: </w:t>
      </w:r>
      <w:r>
        <w:t>https://mcp.opencaselaw.ch/entscheid/vd_gerichte_P321.021128</w:t>
      </w:r>
    </w:p>
    <w:p>
      <w:r>
        <w:t>FR: VD_GERICHTE P321.021128 du 5 avril 2023</w:t>
      </w:r>
    </w:p>
    <w:p>
      <w:r>
        <w:t>IT: VD_GERICHTE P321.021128 del 5 aprile 2023</w:t>
      </w:r>
    </w:p>
    <w:p>
      <w:pPr>
        <w:pStyle w:val="Heading2"/>
      </w:pPr>
      <w:r>
        <w:t>Erwägungen</w:t>
      </w:r>
    </w:p>
    <w:p>
      <w:r>
        <w:rPr>
          <w:b/>
        </w:rPr>
        <w:t>E. 1</w:t>
      </w:r>
    </w:p>
    <w:p>
      <w:r>
        <w:t>Par arrêt du 5 avril 2023, la Cour d’appel civile a notamment rejeté l’appel formé par Z.________ contre le jugement rendu le 23 septembre 2021 par le Tribunal de prud'hommes de l'arrondissement de Lausanne dans la cause qui la divisait d’avec U.________ SA (I), a confirmé ledit jugement (II) et a dit que Z.________ devait verser à U.________ SA la somme de 2'000 fr. à titre de dépens de deuxième instance (VII).</w:t>
      </w:r>
    </w:p>
    <w:p>
      <w:r>
        <w:rPr>
          <w:b/>
        </w:rPr>
        <w:t>E. 2</w:t>
      </w:r>
    </w:p>
    <w:p>
      <w:r>
        <w:t>Par courrier du 24 avril 2023, Me Olivier Subilia, conseil de U.________ SA, a requis la rectification de l’arrêt précité. A l’appui de cette requête, il a relevé qu’une erreur de plume s’était glissée entre le considérant 7.4 de l’arrêt prévoyant des dépens de deuxième instance de 2'500 fr. et le chiffre XII [recte : VII] du dispositif indiquant un montant de 2'000 francs.</w:t>
      </w:r>
    </w:p>
    <w:p>
      <w:r>
        <w:rPr>
          <w:b/>
        </w:rPr>
        <w:t>E. 3</w:t>
      </w:r>
    </w:p>
    <w:p>
      <w:r>
        <w:t>Par courrier du 2 mai 2023, Me Lionel Zeiter, conseil de Z.________, s’en est remis à justice concernant la requête en rectification.</w:t>
      </w:r>
    </w:p>
    <w:p>
      <w:r>
        <w:rPr>
          <w:b/>
        </w:rPr>
        <w:t>E. 4.1</w:t>
      </w:r>
    </w:p>
    <w:p>
      <w:r>
        <w:t>Selon l’art. 334 al. 1, 1ère phr.,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de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w:t>
      </w:r>
    </w:p>
    <w:p>
      <w:r>
        <w:t>- 3 - rectification ne peut avoir pour but la modification de la décision rendue, mais intervient uniquement lorsque ce que l’autorité a voulu n’a pas été correctement transcrit (TF 5A_972/2016 du 24 août 2017 consid. 4.2). De manière générale, on considère que le dispositif entre en contradiction avec les motifs lorsqu’il prévoit autre chose que ceux-ci (CACI 17 août 2021/294bis consid. 3.1 et les réf. citées ; Juge unique CACI 18 mai 2021/239 consid. 3.1).</w:t>
      </w:r>
    </w:p>
    <w:p>
      <w:r>
        <w:rPr>
          <w:b/>
        </w:rPr>
        <w:t>E. 4.2</w:t>
      </w:r>
    </w:p>
    <w:p>
      <w:r>
        <w:t>En l’espèce, le considérant 7.4 de l’arrêt du 5 avril 2023 indique que Z.________ doit verser à U.________ SA la somme de 2'500 fr. à titre de dépens de deuxième instance. Il est fait référence à l’art. 7 TDC [tarif des dépens en matière civile du 23 novembre 2010 ; BLV 270.11.6]. Or, le chiffre VII du dispositif dudit arrêt ne correspond pas à cette motivation puisqu’il mentionne, à tort, que Z.________ doit verser à U.________ SA des dépens de deuxième instance de 2'000 francs. Le dispositif est donc en contradiction avec les motifs de l’arrêt et il convient de corriger ce lapsus calami. Partant, le chiffre VII du dispositif de l’arrêt précité doit être rectifié en ce sens que Z.________ doit verser des dépens de deuxième instance de 2'500 fr. à U.________ SA.</w:t>
      </w:r>
    </w:p>
    <w:p>
      <w:r>
        <w:rPr>
          <w:b/>
        </w:rPr>
        <w:t>E. 5</w:t>
      </w:r>
    </w:p>
    <w:p>
      <w:r>
        <w:t>Conformément à l’art. 107 al. 2 CPC, le présent prononcé rectificatif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