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P320.019808 vom 13. Mai 2022</w:t>
      </w:r>
    </w:p>
    <w:p>
      <w:r>
        <w:t>VD Tribunal cantonal, 2022-05-13, FR</w:t>
      </w:r>
    </w:p>
    <w:p>
      <w:r>
        <w:rPr>
          <w:b/>
        </w:rPr>
        <w:t xml:space="preserve">Quelle: </w:t>
      </w:r>
      <w:r>
        <w:t>https://mcp.opencaselaw.ch/entscheid/vd_gerichte_P320.019808</w:t>
      </w:r>
    </w:p>
    <w:p>
      <w:r>
        <w:t>FR: VD_GERICHTE P320.019808 du 13 mai 2022</w:t>
      </w:r>
    </w:p>
    <w:p>
      <w:r>
        <w:t>IT: VD_GERICHTE P320.019808 del 13 maggio 2022</w:t>
      </w:r>
    </w:p>
    <w:p>
      <w:pPr>
        <w:pStyle w:val="Heading2"/>
      </w:pPr>
      <w:r>
        <w:t>Erwägungen</w:t>
      </w:r>
    </w:p>
    <w:p>
      <w:r>
        <w:rPr>
          <w:b/>
        </w:rPr>
        <w:t>E. 3.1</w:t>
      </w:r>
    </w:p>
    <w:p>
      <w:r>
        <w:t>L’appelante critique l’état de fait retenu par les premiers juges. Elle expose tout d’abord que le message vocal non daté, selon lequel l’intimé demandait à C.________, gérant de l’appelante, de ne pas prendre contact avec l’EVAM, serait d’une importance capitale. Elle se réfère à des pièces produites en deuxième instance pour en déduire que ce message daterait du 27 octobre 2019. Ces pièces sont toutefois irrecevables (cf. supra consid. 2.2), et de toute manière, les premiers juges ont justement retenu que les rapports de travail avaient débuté à cette date.</w:t>
      </w:r>
    </w:p>
    <w:p>
      <w:r>
        <w:t>- 9 -</w:t>
      </w:r>
    </w:p>
    <w:p>
      <w:r>
        <w:rPr>
          <w:b/>
        </w:rPr>
        <w:t>E. 3.2</w:t>
      </w:r>
    </w:p>
    <w:p>
      <w:r>
        <w:t>Ensuite, l’appelante fait valoir que les rapports de travail auraient pris fin le 5 novembre 2019. Là encore, ce n’est pas contesté. On comprend toutefois que l’appelante conteste que l’intimé ait travaillé toute la journée ce jour-là. L’argumentation de l’appelante est toutefois confuse. Elle conteste avoir écrit le 5 novembre 2019 à l’intimé pour lui dire de ne pas revenir au magasin. Elle fait valoir, en se fondant sur les déclarations de l’intimé (cf. jugement, p. 12), qu’il n’aurait pas pu aller se plaindre auprès du syndicat le 5 novembre 2019 tout en travaillant. L’intimé n’a pas déclaré qu’il était allé au syndicat le 5 novembre 2019. Il a au contraire déclaré qu’il l’avait consulté après son dernier jour de travail, qui était le 5 novembre 2019.</w:t>
      </w:r>
    </w:p>
    <w:p>
      <w:r>
        <w:rPr>
          <w:b/>
        </w:rPr>
        <w:t>E. 4.1</w:t>
      </w:r>
    </w:p>
    <w:p>
      <w:r>
        <w:t>L’appelante fait grief au tribunal d’avoir écarté le témoignage de W.________.</w:t>
      </w:r>
    </w:p>
    <w:p>
      <w:r>
        <w:rPr>
          <w:b/>
        </w:rPr>
        <w:t>E. 4.2</w:t>
      </w:r>
    </w:p>
    <w:p>
      <w:r>
        <w:t>Le juge peut prendre en considération les liens professionnels et familiaux qui unissent des témoins à une partie dans le cadre de l'appréciation des preuves (TF 4A_282/2019 du 4 novembre 2019 consid. 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consid. 3.2.2 ; CACI 2 juillet 2020/279 consid. 4.2 ; cf. TF 4A_181/2012 du 10 septembre 2012 consid. 3, RSPC 2013 p. 25).</w:t>
      </w:r>
    </w:p>
    <w:p>
      <w:r>
        <w:rPr>
          <w:b/>
        </w:rPr>
        <w:t>E. 4.2.2</w:t>
      </w:r>
    </w:p>
    <w:p>
      <w:r>
        <w:t>; TF 4A_607/2015 du 4 juillet 2016 consid. 3.2.2.2 ; TF 4A_165/2009 du 15 juin 2009 consid. 5).</w:t>
      </w:r>
    </w:p>
    <w:p>
      <w:r>
        <w:rPr>
          <w:b/>
        </w:rPr>
        <w:t>E. 4.3</w:t>
      </w:r>
    </w:p>
    <w:p>
      <w:r>
        <w:t>Les premiers juges ont exposé leurs motifs, à savoir que le témoin W.________ était en conflit avec l’intimé, contre lequel il avait déposé une plainte pénale pour vol. Ils ont également retenu, à juste titre, que ce témoin avait montré un évident parti pris contre l’intimé, émaillant</w:t>
      </w:r>
    </w:p>
    <w:p>
      <w:r>
        <w:t>- 10 - son témoignage de jugements de valeur. Ils ont en outre pris en considération le fait que le témoin avait vraisemblablement eu connaissance de la procédure, prétendant se souvenir après plus de quinze mois de la somme remise dans une enveloppe à l’intimé, tout en admettant n’avoir pas vu son contenu. Ces motifs sont parfaitement convaincants, et l’appelante ne conteste pas l’existence d’un litige entre le témoin et l’intimé, ni le dépôt par le premier d’une plainte pénale contre le second.</w:t>
      </w:r>
    </w:p>
    <w:p>
      <w:r>
        <w:rPr>
          <w:b/>
        </w:rPr>
        <w:t>E. 5.1</w:t>
      </w:r>
    </w:p>
    <w:p>
      <w:r>
        <w:t>L’appelante s’en prend à l’appréciation des preuves à laquelle ont procédé les premiers juges. En page 18 du jugement, les premiers juges ont retenu que les témoins D.________ et W.________ n’avaient pas été soumis à une période de stage ou de temps d’essai. L’appelante ne le conteste pas. Elle fait toutefois valoir que les circonstances étaient différentes et nie qu’il s’agisse d’un indice concernant le taux d’occupation de l’intimé. L’appelante reproche également aux premiers juges d’avoir considéré que son explication selon laquelle l’intimé aurait passé une commande pour elle le 29 octobre 2019 avec son téléphone portable alors qu’il se trouvait là comme client n’était pas convaincante.</w:t>
      </w:r>
    </w:p>
    <w:p>
      <w:r>
        <w:rPr>
          <w:b/>
        </w:rPr>
        <w:t>E. 5.2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 TF 5A_489/2019, 5A_504/2019 du 24 août 2020 consid. 3.2 ; TF 4A_234/2017 du 19 septembre 2017 consid.</w:t>
      </w:r>
    </w:p>
    <w:p>
      <w:r>
        <w:t>- 11 -</w:t>
      </w:r>
    </w:p>
    <w:p>
      <w:r>
        <w:rPr>
          <w:b/>
        </w:rPr>
        <w:t>E. 5.3</w:t>
      </w:r>
    </w:p>
    <w:p>
      <w:r>
        <w:t>Contrairement à ce qu’affirme l’appelante, c’est à raison que les premiers juges ont pris en considération le fait que d’autres employés avaient d’emblée été engagés, sans période d’essai. Ces éléments font partie de ceux qui ont conduit les premiers juges à retenir qu’il en a été de même s’agissant de l’intimé, contrairement aux affirmations de l’employeur, selon lequel l’engagement de l’intimé était subordonné à un stage de quatre demi-journées de travail. L’appelante fait valoir à cet égard des circonstances qui ne ressortent pas du jugement et qui ne sont pas établies. Il en est de même du raisonnement des premiers juges, selon lequel il n’était pas crédible que l’intimé passe une commande pour l’employeur le soir du 29 octobre 2019 s’il se trouvait là comme client. Au vu des faits retenus, c’est parfaitement à juste titre qu’ils ont retenu qu’il travaillait ce soir-là. D’ailleurs, l’argumentation de l’appelante n’est fondée que sur ses propres déclarations, qui ne peuvent être accueillies qu'avec prudence, au regard de son intérêt à l’issue du litige (cf. TF 4A_385/2017 du 28 septembre 2018 consid. 3.3.1.1).</w:t>
      </w:r>
    </w:p>
    <w:p>
      <w:r>
        <w:rPr>
          <w:b/>
        </w:rPr>
        <w:t>E. 6.1</w:t>
      </w:r>
    </w:p>
    <w:p>
      <w:r>
        <w:t>L’appelante se prévaut de la convention collective nationale de travail pour l'hôtellerie-restauration (CCNT) et expose que, selon son article 5, les quatorze premiers jours de travail sont considérés comme temps d’essai. Elle en déduit que les premiers juges ne pouvaient pas, alors que le temps réel de travail avait été de quatre demi-journées « d’essai », retenir que l’intimé avait travaillé pendant huit jours pleins.</w:t>
      </w:r>
    </w:p>
    <w:p>
      <w:r>
        <w:rPr>
          <w:b/>
        </w:rPr>
        <w:t>E. 6.2</w:t>
      </w:r>
    </w:p>
    <w:p>
      <w:r>
        <w:t>Aux termes de l’art. 5 al. 1 CCNT, les quatorze premiers jours sont considérés comme temps d’essai. Cette période peut être portée à trois mois au plus, s’il en a été convenu ainsi par écrit. L’alinéa 2 de cette</w:t>
      </w:r>
    </w:p>
    <w:p>
      <w:r>
        <w:t>- 12 - disposition précise que, pendant le temps d’essai, le délai de congé est de trois jours, sauf si un accord écrit prévoit un délai plus long.</w:t>
      </w:r>
    </w:p>
    <w:p>
      <w:r>
        <w:rPr>
          <w:b/>
        </w:rPr>
        <w:t>E. 6.3</w:t>
      </w:r>
    </w:p>
    <w:p>
      <w:r>
        <w:t>L’appelante semble faire une interprétation erronée du texte de l’art. 5 CCNT, qui règle le délai de résiliation du contrat durant le temps d’essai, pour en déduire que l’intimé n’aurait travaillé que durant des demi-journées. La question résolue par les premiers juges n’a rien à voir avec le temps d’essai. La résiliation des rapports de travail n’a été contestée par personne, et l’intimé n’en a tiré ni moyens ni conclusions. Les premiers juges, on l’a vu, ont déduit d’un faisceau d’indices que l’intimé avait travaillé à plein temps du 27 octobre 2019 à midi au 5 novembre 2019 au soir. Apparemment, dans l’esprit de l’appelante, le « temps d’essai » tel que défini par la CCNT serait composé de demi- journées de travail. Tel n’est évidemment pas le cas.</w:t>
      </w:r>
    </w:p>
    <w:p>
      <w:r>
        <w:rPr>
          <w:b/>
        </w:rPr>
        <w:t>E. 7.1</w:t>
      </w:r>
    </w:p>
    <w:p>
      <w:r>
        <w:t>L’appelante soutient encore que le salaire à verser à l’intimé devrait s’entendre sans indemnités pour vacances, jours fériés et treizième salaire. Les cotisations sociales devraient en outre ne pas en être déduites.</w:t>
      </w:r>
    </w:p>
    <w:p>
      <w:r>
        <w:rPr>
          <w:b/>
        </w:rPr>
        <w:t>E. 7.2</w:t>
      </w:r>
    </w:p>
    <w:p>
      <w:r>
        <w:t>Comme retenu à juste titre par les premiers juges et en application de la CCNT, il convenait d’ajouter au salaire horaire convenu l’indemnité pour jours fériés de 31 fr. 78 (art. 18 CCNT ; 2,27 %), l’indemnité pour vacances non prises de 149 fr. 10 (art. 17 CCNT ; 10,65 %) et la part du treizième salaire de 116 fr. 62 (art. 12 CCNT ; 8,33 %). Il ne ressort au demeurant pas du dossier que les parties auraient convenu que les cotisations sociales ne seraient pas déduites, les pièces invoquées par l’appelante ne concernant pas l’intimé (cf. pièce 106 du bordereau du 15 septembre 2020) ou étant irrecevables (cf. pièces 19 et 20 produites en appel [cf. supra consid. 2.2]). A supposer recevables, les pièces 19 et 20 n’auraient pas apporté la preuve de l’exonération des cotisations sociales, celles-ci – comme la pièce 106 – ne concernant pas l’intimé.</w:t>
      </w:r>
    </w:p>
    <w:p>
      <w:r>
        <w:t>- 13 -</w:t>
      </w:r>
    </w:p>
    <w:p>
      <w:r>
        <w:rPr>
          <w:b/>
        </w:rPr>
        <w:t>E. 8.1</w:t>
      </w:r>
    </w:p>
    <w:p>
      <w:r>
        <w:t>Au vu de ce qui précède, l’appel, manifestement mal fondé, doit être rejeté en application de l’art. 312 al. 1 in fine CPC et le jugement entrepris confirmé.</w:t>
      </w:r>
    </w:p>
    <w:p>
      <w:r>
        <w:rPr>
          <w:b/>
        </w:rPr>
        <w:t>E. 8.2</w:t>
      </w:r>
    </w:p>
    <w:p>
      <w:r>
        <w:t>Au vu de la nature du litige, l’arrêt doit être rendu sans frais judiciaires de deuxième instance (art. 114 let. c CPC). L’intimé n’ayant pas été invité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