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P320.009335 vom 8. September 2020</w:t>
      </w:r>
    </w:p>
    <w:p>
      <w:r>
        <w:t>VD Tribunal cantonal, 2020-09-08, FR</w:t>
      </w:r>
    </w:p>
    <w:p>
      <w:r>
        <w:rPr>
          <w:b/>
        </w:rPr>
        <w:t xml:space="preserve">Quelle: </w:t>
      </w:r>
      <w:r>
        <w:t>https://mcp.opencaselaw.ch/entscheid/vd_gerichte_P320.009335</w:t>
      </w:r>
    </w:p>
    <w:p>
      <w:r>
        <w:t>FR: VD_GERICHTE P320.009335 du 8 septembre 2020</w:t>
      </w:r>
    </w:p>
    <w:p>
      <w:r>
        <w:t>IT: VD_GERICHTE P320.009335 del 8 settembre 2020</w:t>
      </w:r>
    </w:p>
    <w:p>
      <w:pPr>
        <w:pStyle w:val="Heading2"/>
      </w:pPr>
      <w:r>
        <w:t>Erwägungen</w:t>
      </w:r>
    </w:p>
    <w:p>
      <w:r>
        <w:rPr>
          <w:b/>
        </w:rPr>
        <w:t>E. 1</w:t>
      </w:r>
    </w:p>
    <w:p>
      <w:r>
        <w:t>Le 2 mars 2020, F.________ a déposé auprès du Tribunal de prud’hommes de l’arrondissement de l’Est vaudois (ci-après : le tribunal) une demande tendant à ce que la H.________ soit reconnue sa débitrice d’un montant de 9'214 fr. 80 brut, plus 500 fr. de frais. Lors de l’audience du 25 juin 2020, la défenderesse a conclu au rejet des conclusions prises à son encontre. Par jugement du 3 août 2020, adressé pour notification aux parties le même jour, le Tribunal de prud’hommes de l’arrondissement de l’Est vaudois a dit que la H.________ était la débitrice de F.________ de la somme de 7'284 fr. 15, montant brut, et lui en devait immédiat paiement, une fois les charges sociales déduites (I), a rejeté toutes autres ou plus amples conclusions (II) et a rendu le jugement sans frais (III). Au pied de ce jugement motivé, figurait la mention selon laquelle un appel pouvait être formé à son encontre dans un délai de trente jours.</w:t>
      </w:r>
    </w:p>
    <w:p>
      <w:r>
        <w:rPr>
          <w:b/>
        </w:rPr>
        <w:t>E. 2</w:t>
      </w:r>
    </w:p>
    <w:p>
      <w:r>
        <w:t>Par acte du 26 août 2020 adressé à la Cour d’appel civile, la H.________ a fait appel de ce jugement, en concluant, sous suite de frais et dépens, à ce qu’elle soit libérée des conclusions prises par F.________ (I), subsidiairement à ce qu’elle soit autorisée à compenser l’éventuel droit aux vacances auquel aurait droit F.________ avec le déficit d’heures que révélait le décompte final à l’échéance du contrat, soit un montant de 8'145 fr. 123 brut au 31 juillet 2019 (173.67 heures à 46 fr. 90 brut) (II) et à ce qu’elle ne doive plus rien, à quelque titre que ce soit, à son ancien employé F.________ (III).</w:t>
      </w:r>
    </w:p>
    <w:p>
      <w:r>
        <w:rPr>
          <w:b/>
        </w:rPr>
        <w:t>E. 3</w:t>
      </w:r>
    </w:p>
    <w:p>
      <w:r>
        <w:t>- 3 -</w:t>
      </w:r>
    </w:p>
    <w:p>
      <w:r>
        <w:rPr>
          <w:b/>
        </w:rPr>
        <w:t>E. 3.1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En se référant au dernier état des conclusions, l'art. 308 al. 2 CPC vise les conclusions litigieuses devant l'instance précédente, non l'enjeu de l'appel (Juge délégué CACI 1er juillet 2011/141). Seules sont donc déterminantes les dernières conclusions prises devant la juridiction de première instance, peu importe le montant que celle-ci a finalement alloué (TF 5A_261/2013 du 19 septembre 2013 consid. 3.3 ; TF 5D_13/2017 du 4 décembre 2017 consid. 5.2). La Cour d’appel civile connaît de tous les appels formés en application de l'article 308 CPC (art. 84 LOJV [loi d’organisation judiciaire du 12 décembre 1979, RSV 173.01]),</w:t>
      </w:r>
    </w:p>
    <w:p>
      <w:r>
        <w:rPr>
          <w:b/>
        </w:rPr>
        <w:t>E. 3.2</w:t>
      </w:r>
    </w:p>
    <w:p>
      <w:r>
        <w:t>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(art. 29 al. 1 Cst. [Constitution fédérale de la Confédération suisse du 18 avril 1999 ; RS 101]). Une négligence grossière à la charge de l’avocat peut toutefois justifier de refuser la conversion de l'acte litigieux (TF 5A_221/2018 du 4 juin 2018 consid. 3.3.1 et 3.3.2). On déduit du principe général de la bonne foi, consacré à l'art.</w:t>
      </w:r>
    </w:p>
    <w:p>
      <w:r>
        <w:rPr>
          <w:b/>
        </w:rPr>
        <w:t>E. 3.3</w:t>
      </w:r>
    </w:p>
    <w:p>
      <w:r>
        <w:t>En l’espèce, l’appel est déposé dans une cause dont la valeur litigieuse est inférieure à 10'000 francs. La voie de l’appel n’est donc pas ouverte et la Cour de céans n’est pas compétente. Au demeurant, il n’y a pas lieu de convertir l’appel en recours, même si le jugement attaqué comporte une indication erronée des voies de droit. En effet, l’appelante, assistée d’un avocat, devait clairement se rendre compte que la valeur litigieuse de 10'000 fr. n'était pas atteinte et que donc la voie de l’appel n’était pas ouverte. Un contrôle sommaire de l’indication des voies de droit lui aurait permis de déceler son inexactitude et de se rendre compte de la mégarde du premier juge. Dans ces conditions, on pouvait attendre de l’appelante qu’elle utilise la voie de droit idoine et qu’elle saisisse l’autorité compétente. 4. 4.1 En définitive, l’appel doit être déclaré irrecevable. 4.2 Le présent arrêt sera rendu sans frais judiciaires de deuxième instance (art. 11 TFJC [tarif des frais judiciaires civils du 28 septembre 2010 ; BLV 270.11.5]).</w:t>
      </w:r>
    </w:p>
    <w:p>
      <w:r>
        <w:t>- 5 - Il n’y a pas lieu à l’allocation de dépens de deuxième instance dès lors que l’intimé n’a pas été invité à se déterminer (art. 312 al. 1 in fine CPC).</w:t>
      </w:r>
    </w:p>
    <w:p>
      <w:r>
        <w:t>- 6 -</w:t>
      </w:r>
    </w:p>
    <w:p>
      <w:r>
        <w:rPr>
          <w:b/>
        </w:rPr>
        <w:t>E. 5</w:t>
      </w:r>
    </w:p>
    <w:p>
      <w:r>
        <w:t>al. 3 Cst.,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w:t>
      </w:r>
    </w:p>
    <w:p>
      <w:r>
        <w:t>- 4 -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(Colombini, Code de procédure civile, Condensé de la jurisprudence fédérale et vaudoise, Lausanne 2018, n. 7.1.1 ad art. 311 CPC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