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P319.026570 vom 12. Februar 2020</w:t>
      </w:r>
    </w:p>
    <w:p>
      <w:r>
        <w:t>VD Tribunal cantonal, 2020-02-12, FR</w:t>
      </w:r>
    </w:p>
    <w:p>
      <w:r>
        <w:rPr>
          <w:b/>
        </w:rPr>
        <w:t xml:space="preserve">Quelle: </w:t>
      </w:r>
      <w:r>
        <w:t>https://mcp.opencaselaw.ch/entscheid/vd_gerichte_P319.026570</w:t>
      </w:r>
    </w:p>
    <w:p>
      <w:r>
        <w:t>FR: VD_GERICHTE P319.026570 du 12 février 2020</w:t>
      </w:r>
    </w:p>
    <w:p>
      <w:r>
        <w:t>IT: VD_GERICHTE P319.026570 del 12 febbraio 2020</w:t>
      </w:r>
    </w:p>
    <w:p>
      <w:pPr>
        <w:pStyle w:val="Heading2"/>
      </w:pPr>
      <w:r>
        <w:t>Erwägungen</w:t>
      </w:r>
    </w:p>
    <w:p>
      <w:r>
        <w:rPr>
          <w:b/>
        </w:rPr>
        <w:t>E. 8</w:t>
      </w:r>
    </w:p>
    <w:p>
      <w:r>
        <w:t>Compte tenu de ce qui précède, le recours doit être déclaré irrecevable en application de l’art. 322 al. 1 CPC. L’arrêt peut être rendu sans frais (art. 11 TFJC [tarif des frais judiciaires civils du 28 septembre 2010 ; BLV 270.11.5]).</w:t>
      </w:r>
    </w:p>
    <w:p>
      <w:r>
        <w:t>- 9 -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N.________ (pour P.________ Sàrl), - Me Stéphane Cecconi, av. (pour E.________).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- 10 -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