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P317.042991 vom 28. Juni 2018</w:t>
      </w:r>
    </w:p>
    <w:p>
      <w:r>
        <w:t>VD Tribunal cantonal, 2018-06-28, FR</w:t>
      </w:r>
    </w:p>
    <w:p>
      <w:r>
        <w:rPr>
          <w:b/>
        </w:rPr>
        <w:t xml:space="preserve">Quelle: </w:t>
      </w:r>
      <w:r>
        <w:t>https://mcp.opencaselaw.ch/entscheid/vd_gerichte_P317.042991</w:t>
      </w:r>
    </w:p>
    <w:p>
      <w:r>
        <w:t>FR: VD_GERICHTE P317.042991 du 28 juin 2018</w:t>
      </w:r>
    </w:p>
    <w:p>
      <w:r>
        <w:t>IT: VD_GERICHTE P317.042991 del 28 giugno 2018</w:t>
      </w:r>
    </w:p>
    <w:p>
      <w:pPr>
        <w:pStyle w:val="Heading2"/>
      </w:pPr>
      <w:r>
        <w:t>Erwägungen</w:t>
      </w:r>
    </w:p>
    <w:p>
      <w:r>
        <w:rPr>
          <w:b/>
        </w:rPr>
        <w:t>E. 3.1</w:t>
      </w:r>
    </w:p>
    <w:p>
      <w:r>
        <w:t>L'appelante se plaint d’une constatation incomplète et inexacte des faits. Elle reproche à l’autorité intimée de ne pas avoir pris en considération plusieurs faits selon elle prouvés ou admis, qui seraient</w:t>
      </w:r>
    </w:p>
    <w:p>
      <w:r>
        <w:t>- 16 - propres à remettre en cause la version de l’intimé selon laquelle il aurait été licencié lors de l’entretien du 11 avril 2017.</w:t>
      </w:r>
    </w:p>
    <w:p>
      <w:r>
        <w:rPr>
          <w:b/>
        </w:rPr>
        <w:t>E. 3.2.1</w:t>
      </w:r>
    </w:p>
    <w:p>
      <w:r>
        <w:t>Les premiers juges n’auraient ainsi pas retenu que l’équipe d’entraîneurs, à savoir l’intimé, J.________ et X.________, avaient été convoqués à une réunion le 3 avril 2017 avec le président et le vice- président en vue de discuter des résultats sportifs. L’appelante se réfère à cet égard au témoignage de D.________, qui fait effectivement état d’une telle réunion, sans toutefois être en mesure, contrairement à ce que soutient l’appelante, de préciser si cette réunion a eu lieu avant ou après l’entretien du 11 avril 2017 de l’intimé avec le président de l’appelante. L’état de fait a dès lors été complété dans ce sens, étant précisé que ce témoignage doit être apprécié avec retenue, dès lors que le témoin est vice-président et actionnaire de l’appelante.</w:t>
      </w:r>
    </w:p>
    <w:p>
      <w:r>
        <w:rPr>
          <w:b/>
        </w:rPr>
        <w:t>E. 3.2.2</w:t>
      </w:r>
    </w:p>
    <w:p>
      <w:r>
        <w:t>L’appelante reproche ensuite aux premiers juges de ne pas avoir fait état du communiqué de presse du 12 avril 2017 publié sur le site internet de l’appelante, annonçant que l’intimé avait été suspendu avec effet immédiat de toute fonction avec la 1re équipe. L’état de fait a été complété par le communiqué de presse, produit sous P. 26 du bordereau de la demande, étant relevé pour le surplus que l’intimé n’a pas démontré que le communiqué aurait été mis en ligne à une date ultérieure à celle figurant sur la page internet.</w:t>
      </w:r>
    </w:p>
    <w:p>
      <w:r>
        <w:rPr>
          <w:b/>
        </w:rPr>
        <w:t>E. 3.2.3</w:t>
      </w:r>
    </w:p>
    <w:p>
      <w:r>
        <w:t>L’appelante se prévaut ensuite du courrier que l’appelante a adressé le 14 avril 2017 à l’intimé et soutient que les premiers juges auraient constaté les faits de manière inexacte en ne retenant pas que l’intention de l’appelante était bel et bien de suspendre l’intimé de ses fonctions d’entraîneur de la 1re équipe et non pas de le licencier.</w:t>
      </w:r>
    </w:p>
    <w:p>
      <w:r>
        <w:t>- 17 - Ce grief sera examiné plus loin (cf. consid 4.3 infra) en tant qu’il ne relève pas de la constatation des faits mais de l’appréciation juridique, étant au demeurant observé que le jugement attaqué reproduit intégralement la teneur du courrier du 14 avril 2017.</w:t>
      </w:r>
    </w:p>
    <w:p>
      <w:r>
        <w:rPr>
          <w:b/>
        </w:rPr>
        <w:t>E. 3.2.4</w:t>
      </w:r>
    </w:p>
    <w:p>
      <w:r>
        <w:t>L’appelante fait encore grief aux premiers juges de ne pas avoir retenu le courrier que son président a adressé le 18 avril 2017 à J.________ en réponse à sa lettre de démission du 14 avril 2017, lequel précise que l’intimé n’a pas été licencié mais suspendu avec effet immédiat. Dans la mesure où ce courrier a été produit par la défenderesse avec le bordereau de pièce produit à l’appui de sa réponse (P. 3), l’état de fait a été complété dans ce sens.</w:t>
      </w:r>
    </w:p>
    <w:p>
      <w:r>
        <w:rPr>
          <w:b/>
        </w:rPr>
        <w:t>E. 4.1</w:t>
      </w:r>
    </w:p>
    <w:p>
      <w:r>
        <w:t>L’appelante soutient que de nombreux éléments du dossier viendraient étayer sa thèse selon laquelle, lors de ses entrevues avec l’intimé, notamment celle du 11 avril 2017, il aurait toujours été question de « mise à l’écart », soit de suspension et non de licenciement. Elle prétend qu’il n’était en effet pas question de licencier l’intimé mais de lui donner une autre fonction au sein du club et de le suspendre par rapport à son mandat de la 1re équipe.</w:t>
      </w:r>
    </w:p>
    <w:p>
      <w:r>
        <w:rPr>
          <w:b/>
        </w:rPr>
        <w:t>E. 4.2</w:t>
      </w:r>
    </w:p>
    <w:p>
      <w:r>
        <w:t>Selon l'art. 337 CO (Code des obligations du 30 mars 1911 ; RS 220),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w:t>
      </w:r>
    </w:p>
    <w:p>
      <w:r>
        <w:t>- 18 -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 480/2009 du 11 décembre 2009 consid. 6.1 ; TF 4A_333/2009 du 3 décembre 2009 consid. 2 non publié in ATF 136 III 94 ; ATF 130 III 28 consid. 4.1, rés. in JdT 2004 I 63 ; ATF 127 III 351 consid. 4a, rés. in JdT 2001 I 369 et la jurisprudence citée). L'avertissement doit être explicite et, de manière préférable, indiquer la menace du licenciement immédiat en cas de nouveau manquement (Wyler, Droit du travail, 3e éd., Berne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consid.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consid. 4.1 et la jurisprudence citée ; TF 4C.30312005 du 1er décembre 2005 consid. 2.1 et la jurisprudence citée). Les motifs invoqués par l'employeur doivent se rapporter directement à l'origine de la décision de résiliation immédiate ; l'employeur ne peut ainsi pas se prévaloir d'une accumulation de faits anciens (Brunner/Bühler/Waeber/Bruchez, Commentaire du contrat de travail, 3e</w:t>
      </w:r>
    </w:p>
    <w:p>
      <w:r>
        <w:t>- 19 - éd., Lausanne 2004, n. 13 ad art. 337 CO, p. 279). Des faits postérieurs au licenciement immédiat ne sauraient par ailleurs être pris en considération (ATF 127 III 310 consid. 4a ; ATF 124 III 25 consid. 3c ; ATF 121 III 467 consid. 5a et b). En revanche, il y a lieu d'admettre, sous certaines conditions restrictives, la possibilité de se prévaloir après coup d'une circonstance qui existait déjà au moment de la déclaration de licenciement immédiat, mais que l'auteur de celle-ci ne connaissait pas et ne pouvait pas connaître. En effet, dès l'instant où l'art. 337 CO prescrit au juge de tenir compte des règles de la bonne foi, ce serait méconnaître cette disposition que d'ignorer l'existence d'un semblable motif.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121 III 467 ; ATF 124 III 25).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consid. 1c ; TF 8C_369/2012 du 12 août 2012 consid. 4.2). C'est à l'employeur qui entend se prévaloir de justes motifs de licenciement immédiat de démontrer leur existence (TF 4A_251/2009 du 29 juin 2009 consid. 2.1 ; TF 4C.400/2006 du 9 mars 2007 consid. 3.1 ; TF 4C.17412003 du 27 octobre 2003 consid. 3.2.3 et les réf. citées ; Brunner/Bühler/Waeber/Bruchez, op. cit., n. 13 ad art. 337 CO).</w:t>
      </w:r>
    </w:p>
    <w:p>
      <w:r>
        <w:t>- 20 - Lorsque la résiliation par une partie est fonction du refus par l'autre partie d'accepter une modification des conditions de travail, on est en présence d'un congé-modification (« Änderungskündigung»). Le congé- 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 des obligations contractuelles.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économiques liés à l'exploitation de l'entreprise ou aux conditions du marché. Un congé-modification sera en outre qualifié de congé-représailles, abusif conformément à l'art. 336 al. 1 let. d CO, lorsqu'il est signifié au salarié parce que celui-ci refuse de conclure un nouveau contrat qui viole la loi, une convention collective ou un contrat- type applicables (TF 40.282/2006 du 1er mars 2007 et les réf. citées).</w:t>
      </w:r>
    </w:p>
    <w:p>
      <w:r>
        <w:rPr>
          <w:b/>
        </w:rPr>
        <w:t>E. 4.3</w:t>
      </w:r>
    </w:p>
    <w:p>
      <w:r>
        <w:t>En l'espèce, tout l'argumentaire de l'appelante consiste à dire que l’autorité précédente n'aurait pas constaté les faits de manière exacte et que ce qui aurait été signifié à l'intimé, c'est une suspension de sa fonction d'entraîneur de la 1re équipe. Les premiers juges ont retenu qu'il s'agissait bien d'un licenciement avec effet immédiat notamment au motif que J.________, entraîneur-assistant, et X.________, Team Manager de la 1re équipe, avaient démissionné à l'annonce du départ de l'intimé et que le message adressé par l'intimé au président de l’appelante dans la soirée du 11 avril 2017 évoquait bien un licenciement sans que cela suscite de réaction de la part du destinataire. Or, selon les témoignages de D.________ et de M.________, ce qui aurait été communiqué aux tiers, notamment aux joueurs le soir du 11 avril 2017, c'est que l'intimé avait été suspendu et qu'il n'entraînerait plus la 1re équipe. Dans la mesure où</w:t>
      </w:r>
    </w:p>
    <w:p>
      <w:r>
        <w:t>- 21 - ces témoignages émanent respectivement du vice-président et actionnaire de l’appelante et d’un joueur de l’appelante, ils doivent toutefois être appréciés avec retenue, vu d’une part l’intérêt évident du premier témoin à l’affaire et d’autre part les rapports étroits existant entre le second témoin et le club qui l’emploie. Par la suite, dans un courrier électronique du 21 avril 2017, le président de l’appelante a indiqué à l'intimé, en substance, qu'il ne s'agissait pas d'un licenciement mais d'une suspension ; l'intimé arrêtait avec effet immédiat ses fonctions au sein de la 1re équipe et était pour le surplus toujours présent dans l'organigramme du club mais plus sous le staff de cette équipe. Selon un article publié le même jour sur le site www.footvaud.ch, l'intimé n'était plus l'entraîneur de la première équipe et en attendant l'intersaison, durant laquelle le club se mettrait à la recherche d'un nouveau coach, ils seraient trois à assurer l'intérim. Il ressort ainsi de l'ensemble du dossier que l'appelante, quel que soit le terme utilisé – licenciement ou suspension – avait l'intention de se séparer de l'intimé en tant qu'il entraînait la 1re équipe mais n'excluait pas de lui trouver une autre fonction au sein du club. A aucun moment il n'a été question de faire reprendre à l’intimé ses fonctions d'entraîneur de la 1re équipe pour la saison qui suivait, alors même qu’il avait été engagé en cette qualité. L'appelante soutient elle-même qu'il était question de lui trouver une autre fonction au sein du club, mais cela constitue un congé- modification – dès lors que le contrat de travail mentionne expressément que l’intimé est engagé en qualité d’entraîneur de la première équipe – que l'intimé n'était pas tenu d'accepter. Faute d'acceptation de sa part, il y a bien eu résiliation des rapports de travail, conformément aux principes exposés ci-dessus. Ainsi, eu égard à la teneur du contrat de travail, la « suspension » de l'entraîneur par rapport au mandat de la 1re équipe constituait bien un licenciement avec effet immédiat. Pour le surplus, même si l'appelante ne le plaide pas, on ne saurait considérer que les défaites de la 1re équipe et le risque de relégation constitue des justes motifs de licenciement de l'entraîneur avec effet immédiat. Le grief est dès lors infondé.</w:t>
      </w:r>
    </w:p>
    <w:p>
      <w:r>
        <w:t>- 22 -</w:t>
      </w:r>
    </w:p>
    <w:p>
      <w:r>
        <w:rPr>
          <w:b/>
        </w:rPr>
        <w:t>E. 5.1</w:t>
      </w:r>
    </w:p>
    <w:p>
      <w:r>
        <w:t>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w:t>
      </w:r>
    </w:p>
    <w:p>
      <w:r>
        <w:rPr>
          <w:b/>
        </w:rPr>
        <w:t>E. 5.2</w:t>
      </w:r>
    </w:p>
    <w:p>
      <w:r>
        <w:t>En vertu de l'art. 337c al. 3 CO, le juge peut condamner l'employeur à verser au travailleur une indemnité dont il fixera librement le montant, compte tenu de toutes les circonstances ; elle ne peut toutefois pas dépasser le montant correspondant à six mois de salaire du travailleur. L'indemnité est due, en principe, dans tous les cas de licenciement immédiat et injustifié ; une éventuelle exception doit répondre à des circonstances particulières, qui ne dénotent aucune faute de l'employeur et qui ne lui sont pas non plus imputables pour d'autres raisons (ATF 116 II 300 consid. 5a ; ATF 121 Ill 64 consid. 3c ; ATF 120 II 243 consid. 3e). L'indemnité, dont le montant n'est pas soumis aux cotisations sociales (ATF 123 V 5), est fixée d'après la gravité de l'atteinte portée aux droits de la personnalité du travailleur ; d'autres critères, tels que la durée des rapports de travail, l'âge du travailleur, sa situation sociale, une éventuelle faute concomitante (ATF 121 III 64 consid. 3c) et les effets économiques du licenciement (ATF 123 III 391 consid. 3c), entrent aussi en considération (pour un aperçu de la jurisprudence, voir TF 4C.155/2005 du 6 juillet 2005 consid. 5.2.1). Une éventuelle faute concomitante du travailleur est prise en considération et peut donner lieu à réduction, voire à une suppression de l'indemnité lorsque la faute du travailleur est grave, mais insuffisante pour justifier le licenciement avec effet immédiat (Wyler, op. cit., pp. 609-610).</w:t>
      </w:r>
    </w:p>
    <w:p>
      <w:r>
        <w:t>- 23 -</w:t>
      </w:r>
    </w:p>
    <w:p>
      <w:r>
        <w:rPr>
          <w:b/>
        </w:rPr>
        <w:t>E. 5.3</w:t>
      </w:r>
    </w:p>
    <w:p>
      <w:r>
        <w:t>En l’espèce, l’appelante ne fait pas valoir d’autres moyens à titre subsidiaire en ce qui concerne les conséquences pécuniaires du licenciement immédiat injustifié de l’intimé, qu’il s’agisse de la créance en dommages-intérêts fondée sur l’al. 1 de l’art. 337c CO ou de l’indemnité fondée sur l’al. 3 de cette même disposition. Dans la mesure où le contrat de travail devait effectivement prendre fin le 30 juin 2018, c’est à juste titre que les premiers juges ont retenu que l’intimé avait droit à son salaire depuis le mois de juillet 2017, intérêts moratoires en sus, jusqu’à l’échéance de son contrat de durée déterminée. En ce qui concerne l’exigibilité de la créance de l’intimé, on ne saurait reprocher aux premiers juges de ne pas avoir fait application de l’art. 339 al. 1 CO, disposant qu’à la fin du contrat, toutes les créances qui en découlent deviennent exigibles, dès lors que l’intimé a conclu à ce que les salaires des mois d’août 2017 à juin 2018 lui soient versés à la fin de chaque mois. L’échéance des montants dus à l’intimé, telle que fixée aux chiffres III et IV du dispositif du jugement, ne prête ainsi pas le flanc à la critique. La fixation de l’indemnité due en raison du licenciement immédiat injustifié, à hauteur d’un mois de salaire dû à l’intimé, échappe également à toute critique au vu des principes jurisprudentiels exposés ci-dessus.</w:t>
      </w:r>
    </w:p>
    <w:p>
      <w:r>
        <w:rPr>
          <w:b/>
        </w:rPr>
        <w:t>E. 6.1</w:t>
      </w:r>
    </w:p>
    <w:p>
      <w:r>
        <w:t>Il s’ensuit que l’appel, manifestement infondé, doit être rejeté selon le mode procédural de l’art. 312 al. 1 CPC et le jugement confirmé.</w:t>
      </w:r>
    </w:p>
    <w:p>
      <w:r>
        <w:rPr>
          <w:b/>
        </w:rPr>
        <w:t>E. 6.2</w:t>
      </w:r>
    </w:p>
    <w:p>
      <w:r>
        <w:t>L’arrêt sera rendu sans frais judiciaires de deuxième instance, s’agissant d’un litige portant sur un contrat de travail dont la valeur litigieuse n’excède pas 30'000 fr. (art. 114 let. c CPC).</w:t>
      </w:r>
    </w:p>
    <w:p>
      <w:r>
        <w:rPr>
          <w:b/>
        </w:rPr>
        <w:t>E. 6.3</w:t>
      </w:r>
    </w:p>
    <w:p>
      <w:r>
        <w:t>Il n’y a pas lieu à l’allocation de dépens de deuxième instance, l’intimé n’ayant pas été invité à déposer une réponse.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