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P317.033040 vom 28. März 2018</w:t>
      </w:r>
    </w:p>
    <w:p>
      <w:r>
        <w:t>VD Tribunal cantonal, 2018-03-28, FR</w:t>
      </w:r>
    </w:p>
    <w:p>
      <w:r>
        <w:rPr>
          <w:b/>
        </w:rPr>
        <w:t xml:space="preserve">Quelle: </w:t>
      </w:r>
      <w:r>
        <w:t>https://mcp.opencaselaw.ch/entscheid/vd_gerichte_P317.033040</w:t>
      </w:r>
    </w:p>
    <w:p>
      <w:r>
        <w:t>FR: VD_GERICHTE P317.033040 du 28 mars 2018</w:t>
      </w:r>
    </w:p>
    <w:p>
      <w:r>
        <w:t>IT: VD_GERICHTE P317.033040 del 28 marzo 2018</w:t>
      </w:r>
    </w:p>
    <w:p>
      <w:pPr>
        <w:pStyle w:val="Heading2"/>
      </w:pPr>
      <w:r>
        <w:t>Erwägungen</w:t>
      </w:r>
    </w:p>
    <w:p>
      <w:r>
        <w:rPr>
          <w:b/>
        </w:rPr>
        <w:t>E. 1</w:t>
      </w:r>
    </w:p>
    <w:p>
      <w:r>
        <w:t>Agissant au nom de son client F.________, l’avocat D.________ a adressé au Tribunal de prud’hommes de l’arrondissement de La Côte une requête d’assistance judiciaire datée du 18 novembre 2016, mais parvenue au greffe le 24 novembre 2016, tendant à ce que le bénéfice de l’assistance judiciaire soit octroyé à son client dans le cadre de la cause en conflit du travail l’opposant à [...], dans la mesure d’une exonération des avances et des sûretés, d’une exonération des frais judiciaires et de l’assistance d’office d’un avocat. Par décision du 30 novembre 2016, le Président du Tribunal de prud’hommes de l’arrondissement de La Côte a accordé à F.________ le bénéfice de l'assistance judiciaire requise avec effet au 10 D.________ en qualité de conseil d’office.</w:t>
      </w:r>
    </w:p>
    <w:p>
      <w:r>
        <w:rPr>
          <w:b/>
        </w:rPr>
        <w:t>E. 1.1</w:t>
      </w:r>
    </w:p>
    <w:p>
      <w:r>
        <w:t>La décision arrêtant la rémunération du conseil d’office au sens de l’art. 122 al. 1 let. a CPC est une décision sur frais qui ne peut être attaquée séparément que par un recours au sens de l’art. 110 CPC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w:t>
      </w:r>
    </w:p>
    <w:p>
      <w:r>
        <w:rPr>
          <w:b/>
        </w:rPr>
        <w:t>E. 1.2</w:t>
      </w:r>
    </w:p>
    <w:p>
      <w:r>
        <w:t>Formé en temps utile par une partie disposant d’un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w:t>
      </w:r>
    </w:p>
    <w:p>
      <w:r>
        <w:t>- 5 - avril 1999 ; RS 101) (Jeandin, CPC commenté, 2011, n. 4 s. ad art. 321 CPC et les réf. citées).</w:t>
      </w:r>
    </w:p>
    <w:p>
      <w:r>
        <w:rPr>
          <w:b/>
        </w:rPr>
        <w:t>E. 2</w:t>
      </w:r>
    </w:p>
    <w:p>
      <w:r>
        <w:t>Par demande du 1er juin 2017, adressée au Tribunal de prud’hommes de l’arrondissement de La Côte pour le compte de son mandant, l’avocat D.________, au bénéfice d’une autorisation de procéder, a conclu à ce qu’ [...] soit condamnée à payer à F.________ la somme de 6'259 fr. 35 brut, avec intérêt à 5% l’an dès le 18 février 2014.</w:t>
      </w:r>
    </w:p>
    <w:p>
      <w:r>
        <w:rPr>
          <w:b/>
        </w:rPr>
        <w:t>E. 3</w:t>
      </w:r>
    </w:p>
    <w:p>
      <w:r>
        <w:t>A l’audience de jugement du 9 janvier 2018, qui s’est tenue par défaut de la défenderesse [...], l’avocat D.________ a produit une liste d’opérations annonçant 19.50 heures pour les opérations effectuées avant le 1er janvier 2018 et 1.40 heures de travail en 2018, auxquelles s’ajoutaient la durée de l’audience, 160 fr. 50 de débours, 120 fr. de vacation et la TVA sur le tout. En d roit : 1.</w:t>
      </w:r>
    </w:p>
    <w:p>
      <w:r>
        <w:t>- 4 -</w:t>
      </w:r>
    </w:p>
    <w:p>
      <w:r>
        <w:rPr>
          <w:b/>
        </w:rPr>
        <w:t>E. 3.1</w:t>
      </w:r>
    </w:p>
    <w:p>
      <w:r>
        <w:t>Le recourant fait valoir que la réduction de la durée des opérations effectuée par le tribunal serait arbitraire. Cette réduction correspondrait à plus de 30% du temps total consacré au mandat d’office, sans justification sérieuse, de sorte que la décision devrait être annulée.</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2e éd. 2013, n.</w:t>
      </w:r>
    </w:p>
    <w:p>
      <w:r>
        <w:rPr>
          <w:b/>
        </w:rPr>
        <w:t>E. 3.3</w:t>
      </w:r>
    </w:p>
    <w:p>
      <w:r>
        <w:t>En l’espèce, le tribunal a procédé à une réduction du temps de travail de l’avocat en considérant, de façon générale, que le temps annoncé paraissait disproportionné à la valeur litigieuse. Cette façon de procéder ne peut pas être admise, le premier juge devant indiquer quelles sont les opérations dont la durée est excessive et le cas échéant dans quelle mesure il procède à une réduction du temps de chaque opération ou à tout le moins de chaque type d’opérations (écritures, courriers, entretiens avec le client, etc.). En réalité, le tribunal s’est contenté d’estimer, de façon générale, le temps nécessaire à l’exécution du mandat, ce qui s’apparente à une réduction forfaitaire et révèle une motivation insuffisante de la décision entreprise (cf. CREC 6 septembre 2016/362 et 6 novembre 2017/382). Ce défaut de motivation constitue une violation du droit d’être entendu du recourant. Ce résultat implique l’annulation de la décision entreprise et le renvoi de la cause au tribunal, le défaut de motivation ne pouvant pas être réparé devant l’autorité de recours, en raison de son pouvoir de cognition restreint. Le renvoi de la cause à l’autorité de première instance permet aussi de préserver la garantie de la double instance. 4. En définitive, il résulte de ce qui précède que le recours doit être admis, la décision attaquée annulée au chiffre III de son dispositif et la</w:t>
      </w:r>
    </w:p>
    <w:p>
      <w:r>
        <w:t>- 8 - cause renvoyée à l’autorité de première instance pour nouvel examen et nouvelle décision dans le sens des considérants (art. 327 al. 3 let. a CPC). Les frais judiciaires de deuxième instance, arrêtés à 100 fr. (art. 69 al. 1 et 70 al. 3 TJFC [tarif des frais judiciaires civils du 28 septembre 2010 ; RSV 270.11.5]), ne sont pas imputables au recourant, de sorte qu’ils seront laissés à la charge de l’Etat (art. 107 al. 2 CPC). Il n’y a pas matière à l’allocation de dépens, puisque l’on ne saurait ici considérer l’Etat comme une partie adverse (Tappy, op. cit., n. 34 ad art. 107 CPC). Par ces motifs, la Chambre des recours civile du Tribunal cantonal prononce : I. Le recours est admis. II. La décision est annulée et la cause est renvoyée au Tribunal de prud’hommes de l’arrondissement de La Côte pour nouvel examen et nouvelle décision dans le sens des considérants. III. Les frais judiciaires de deuxième instance, arrêtés à 100 fr. (cent francs), sont laissés à la charge de l’Etat. IV. Il n’est pas alloué de dépens. V. L’arrêt est exécutoire.</w:t>
      </w:r>
    </w:p>
    <w:p>
      <w:r>
        <w:t>- 9 - Le président : Le greffier : Du L'arrêt qui précède, dont la rédaction a été approuvée à huis clos, est notifié à : - Me D.________, personnellement, - M. F.________,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Côte.</w:t>
      </w:r>
    </w:p>
    <w:p>
      <w:r>
        <w:t>- 10 - Le greffier :</w:t>
      </w:r>
    </w:p>
    <w:p>
      <w:r>
        <w:rPr>
          <w:b/>
        </w:rPr>
        <w:t>E. 5</w:t>
      </w:r>
    </w:p>
    <w:p>
      <w:r>
        <w:t>à 7 ad art. 122 CPC, pp. 683-684). Pour fixer la quotité de l’indemnité du conseil d’office, l’autorité cantonale doit s’inspirer des critères applicables à la modération des honoraires d’avocat (Donzallaz, Loi sur le Tribunal fédéral, Commentaire, 2008, n. 1775 ad art. 64 LTF). Dans le canton de Vaud, l’art. 2 al. 1 RAJ (Règlement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et de 110 fr. pour un avocat-stagiaire (art. 2 al. 1 let. a et b RAJ). En matière civile, le défenseur d'office peut être amené à accomplir dans le cadre du procès des démarches qui ne sont pas déployées devant les tribunaux, telles que recueillir des déterminations de</w:t>
      </w:r>
    </w:p>
    <w:p>
      <w:r>
        <w:t>- 6 - son client ou de la partie adverse ou encore rechercher une transaction. De telles opérations doivent également être prises en compte (ATF 122 I 1 consid. 3a précité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L’avocat d'office ne saurait être rétribué pour des activités qui ne sont pas nécessaires à la défense des intérêts du bénéficiaire de l’assistance judiciaire ou qui consistent en un soutien moral (ATF 109 Ia 107 consid. 3b ; TF 5P.462/2002 du 30 janvier 2003 consid. 2.3 ; CREC 25 janvier 2013/29, in JdT 2013 II 35 ss).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la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I 270 consid. 3.1 ; ATF 126 I 97 consid. 2b). Lorsque l'autorité fixe l'indemnité due à un conseil d'office en statuant sur la base d'une liste de frais, elle doit alors exposer brièvement,</w:t>
      </w:r>
    </w:p>
    <w:p>
      <w:r>
        <w:t>- 7 - si elle entend s'en écarter, les motifs pour lesquels elle tient certaines prétentions pour injustifiées, afin que son destinataire puisse attaquer la décision à bon escient (TF 5D_28/2014 du 26 mai 2014 consid. 2.2 ; TF 5A_39/2014 du 12 mai 2014 consid. 4.2).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consid. 3b ; CREC 10 décembre 2014/435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