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P317.029904 vom 25. Oktober 2018</w:t>
      </w:r>
    </w:p>
    <w:p>
      <w:r>
        <w:t>VD Tribunal cantonal, 2018-10-25, FR</w:t>
      </w:r>
    </w:p>
    <w:p>
      <w:r>
        <w:rPr>
          <w:b/>
        </w:rPr>
        <w:t xml:space="preserve">Quelle: </w:t>
      </w:r>
      <w:r>
        <w:t>https://mcp.opencaselaw.ch/entscheid/vd_gerichte_P317.029904</w:t>
      </w:r>
    </w:p>
    <w:p>
      <w:r>
        <w:t>FR: VD_GERICHTE P317.029904 du 25 octobre 2018</w:t>
      </w:r>
    </w:p>
    <w:p>
      <w:r>
        <w:t>IT: VD_GERICHTE P317.029904 del 25 ottobre 2018</w:t>
      </w:r>
    </w:p>
    <w:p>
      <w:pPr>
        <w:pStyle w:val="Heading2"/>
      </w:pPr>
      <w:r>
        <w:t>Erwägungen</w:t>
      </w:r>
    </w:p>
    <w:p>
      <w:r>
        <w:rPr>
          <w:b/>
        </w:rPr>
        <w:t>E. 4.1</w:t>
      </w:r>
    </w:p>
    <w:p>
      <w:r>
        <w:t>Dans un second moyen, l’appelant affirme que le certificat de travail du 20 octobre 2016 serait lacunaire car il n'indiquerait pas une activité en tant que physiothérapeute diplômé, ne préciserait pas de manière complète toutes les tâches effectivement exécutées, ainsi que le taux d'activité, et ne comporterait pas d'appréciation sur sa conduite. Quant à l'appréciation de son travail, elle ne serait pas suffisamment élogieuse. L'intimée aurait ainsi violé son obligation de lui remettre dès le 31 mai 2016 un certificat de travail conforme aux exigences posées par l'art. 330a CO, ce qui l’aurait empêché d'être engagé avant le 9 janvier 2017. De son côté, l’intimée relève que l’appelant n’a pas sollicité la remise d’un certificat de travail avant le mois de septembre 2016 et qu’il a trouvé un emploi sans fournir un certificat de travail conforme au modèle qu’il avait proposé.</w:t>
      </w:r>
    </w:p>
    <w:p>
      <w:r>
        <w:rPr>
          <w:b/>
        </w:rPr>
        <w:t>E. 4.2</w:t>
      </w:r>
    </w:p>
    <w:p>
      <w:r>
        <w:t>Selon l'art. 330a al. 1 CO, le travailleur peut demander en tout temps à l'employeur un certificat de travail portant sur la nature et la</w:t>
      </w:r>
    </w:p>
    <w:p>
      <w:r>
        <w:t>- 11 -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consid. 6.1 pp. 313 ss. et les réf. citées). Lorsqu'il subit un préjudice du fait du refus de l'employeur de lui délivrer un certificat de travail ou en raison de la délivrance d'un certificat inexact, le travailleur peut agir en réparation contre l'employeur sur la base de l'art. 97 CO ; en effet, l'employeur qui établit un certificat de travail inexact engage sa responsabilité contractuelle envers le travailleur pour le dommage créé. Le dommage allégué consistant généralement dans le salaire que l'employé aurait obtenu dans un emploi lui ayant échappé, il lui incombera notamment d'établir qu'il aurait été embauché si son précédent employeur avait correctement rempli ses obligations et que la violation par ce dernier de ses obligations est de nature, selon le cours ordinaire des choses, à décourager l'employeur d'embaucher un candidat ainsi présenté (lien de causalité adéquate). La difficulté de cette preuve explique le caractère peu fréquent de telles actions (Wyler/Heinzer, Droit du travail, 3e éd., 2014, p. 420 et les réf. citées). Un comportement est en lien de causalité adéquate avec le dommage survenu lorsqu'il est propre, d'après le cours ordinaire des choses et l'expérience générale de la vie, à entraîner le résultat qui s'est</w:t>
      </w:r>
    </w:p>
    <w:p>
      <w:r>
        <w:t>- 12 - produit (ATF 139 V 176 consid. 8.4.2).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 citées).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ATF 127 III 453 consid. 5d). L'existence d'un lien de causalité naturelle entre le fait générateur de responsabilité et le dommage est une question de fait (ATF 130 III 591 consid. 5.3). En revanche, la méconnaissance du concept même de la causalité naturelle ainsi que l'existence d'un rapport de causalité adéquate constituent des questions de droit (ATF 123 III 110 consid. 2 et les réf. citées).</w:t>
      </w:r>
    </w:p>
    <w:p>
      <w:r>
        <w:rPr>
          <w:b/>
        </w:rPr>
        <w:t>E. 4.3</w:t>
      </w:r>
    </w:p>
    <w:p>
      <w:r>
        <w:t>En l’espèce, comme l'ont à juste titre relevé les premiers juges, il importe peu de savoir si l'intimée a respecté ou non son obligation de délivrer un certificat de travail, car il n'est manifestement pas établi que cette omission l'aurait empêché d'être engagé avant le 9 janvier 2017. Sur ce point, il n'est pas contesté que l'appelant a effectué un certain nombre de recherches d'emploi et que cinq employeurs potentiels lui ont demandé l'attestation de reconnaissance de son diplôme étranger par la Croix-Rouge suisse. Or l'appelant n'a pas démontré, ni même allégué en première instance, que ces pourparlers étaient avancés et qu'il aurait très certainement été engagé s'il avait été en possession d’un certificat de travail conforme à ses exigences. On relèvera que l’appelant prétend avoir réclamé maintes fois que l’intimée lui délivre un nouveau certificat de travail, mais qu’il n'établit nullement avoir relancé concrètement et avec insistance son employeuse. En outre, comme l'ont relevé les premiers juges, l'appelant a eu la possibilité de présenter le</w:t>
      </w:r>
    </w:p>
    <w:p>
      <w:r>
        <w:t>- 13 - certificat du 20 octobre 2016, notamment à un certain [...], soit le seul employeur potentiel ayant requis la transmission d’un certificat de travail, mais il a préféré ne pas fournir le document précité. Or rien n'indique que cette démarche aurait été vouée à l'échec et on peut sérieusement se demander si l'appelant n'est pas lui-même quelque peu responsable de l'absence d'embauche dont il se prévaut. Dans ce contexte incertain, l'appréciation du premier juge s’agissant de l'absence de lien de causalité doit être confirmée.</w:t>
      </w:r>
    </w:p>
    <w:p>
      <w:r>
        <w:rPr>
          <w:b/>
        </w:rPr>
        <w:t>E. 5.1</w:t>
      </w:r>
    </w:p>
    <w:p>
      <w:r>
        <w:t>L’appelant se plaint finalement de ce que les premiers juges n’aient pas condamné l’intimée à lui verser une somme à titre d’arriérés de salaire pour les premiers mois ayant suivi son engagement, alors que le salaire perçu ne lui permettait pas de couvrir son minimum vital. Il reproche aux premiers juges de ne pas avoir examiné, en sus de l’art. 21 CO, l’application subsidiaire des art. 19 et 20 CO. De son côté, l’intimée soutient que l’appelant n’aurait pas apporté la preuve de la disproportion dont il se prévaut.</w:t>
      </w:r>
    </w:p>
    <w:p>
      <w:r>
        <w:rPr>
          <w:b/>
        </w:rPr>
        <w:t>E. 5.2</w:t>
      </w:r>
    </w:p>
    <w:p>
      <w:r>
        <w:t>Sous le titre marginal « lésion », l’art. 21 al. 1 CO dispose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Il incombe au lésé de démontrer la disproportion évidente des prestations promises, la situation précaire dans laquelle il se trouvait (gêne, inexpérience, légèreté) et le fait d’avoir été exploité par le lésant (Schmidlin, Commentaire romand, Code des obligations I, 2e éd. 2012 [cité ci-après : CR-CO I], n. 34 ad art. 21 CO). Conformément à l’art. 19 CO, l'objet d'un contrat peut être librement déterminé, dans les limites de la loi (al. 1). La loi n'exclut les conventions des parties que lorsqu'elle édicte une règle de droit strict, ou</w:t>
      </w:r>
    </w:p>
    <w:p>
      <w:r>
        <w:t>- 14 - lorsqu'une dérogation à son texte serait contraire aux mœurs, à l'ordre public ou aux droits attachés à la personnalité (al. 2). Aux termes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Conformément à cette dernière disposition, le juge doit rechercher la volonté hypothétique des parties, c’est-à-dire déterminer ce que celles-ci auraient convenu de bonne foi si elles avaient envisagé la possibilité de la nullité partielle (ATF 120 II 35 consid. 4 ; ATF 138 III 29 consid. 2.3.3). La non-équivalence des prestations entre aussi dans le champ d’application des art. 19 et 20 CO lorsqu’il existe entre elles une disproportion manifeste, notamment en présence d’un taux d’intérêt usuraire (Guillod/Steffen, CR-CO I, n. 71a ad art. 19,20 CO ; ATF 129 III 209, JdT 2003 I 623).</w:t>
      </w:r>
    </w:p>
    <w:p>
      <w:r>
        <w:rPr>
          <w:b/>
        </w:rPr>
        <w:t>E. 5.3</w:t>
      </w:r>
    </w:p>
    <w:p>
      <w:r>
        <w:t>En l’espèce, l’argumentation de l’appelant s’agissant du prétendu arriéré de salaire qu’il revendique ne saurait être suivie. En effet, il ressort du dossier que l'appelant a bénéficié auprès de l'intimée de la possibilité de débuter une activité lucrative en Suisse, alors qu’il ne disposait pas de connaissances suffisantes en langue française et ne remplissait ainsi pas les conditions pour que son diplôme étranger soit reconnu. L’appelant ne saurait reprocher à l’intimée d’avoir abusé d'une situation qu'il avait clairement acceptée et qui lui était favorable, puisqu’il était manifestement dans une phase d'apprentissage du français au moment de son engagement. On relèvera que l'appelant n'a nullement allégué en première instance avoir été dans un état de grande détresse lors de ses pourparlers avec l'intimée. On ne saurait donc conclure que celle-ci aurait sciemment exploité sa gêne et son inexpérience, ce d'autant moins que l'appelant apparaît simplement avoir saisi une opportunité d'être engagé en Suisse alors qu'il travaillait au [...], de façon à pouvoir, à court ou moyen terme, faire reconnaître son titre en Suisse.</w:t>
      </w:r>
    </w:p>
    <w:p>
      <w:r>
        <w:rPr>
          <w:b/>
        </w:rPr>
        <w:t>E. 6</w:t>
      </w:r>
    </w:p>
    <w:p>
      <w:r>
        <w:t>- 15 -</w:t>
      </w:r>
    </w:p>
    <w:p>
      <w:r>
        <w:rPr>
          <w:b/>
        </w:rPr>
        <w:t>E. 6.1</w:t>
      </w:r>
    </w:p>
    <w:p>
      <w:r>
        <w:t>A l’appui des conclusions de son recours, l’intimée et recourante invoque une violation de son droit d’être entendue consistant selon elle en un défaut de motivation affectant le rejet de sa demande d'indemnité équitable fondée sur l'art. 95 al. 3 let. c CPC. En outre, sur le fond, elle prétend avoir droit à une telle indemnité, son mari ayant consacré passablement de temps à la défendre. Elle se prévaut à ce titre de discussions fréquentes ayant eu lieu entre elle et son mari et du fait que l’intervention de celui-ci devrait être rémunérée dans une proportion similaire à celle de l’avocat de la partie adverse. De son côté, l’appelant et intimé au recours affirme que la recourante n’aurait pas établi avoir effectué des démarches particulières qui justifieraient une indemnité équitable dans le cadre de la procédure de première instance. De plus, la recourante et intimée n’aurait rien entrepris personnellement dans le cadre de la procédure.</w:t>
      </w:r>
    </w:p>
    <w:p>
      <w:r>
        <w:rPr>
          <w:b/>
        </w:rPr>
        <w:t>E. 6.2.1</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130 II 530 consid. 4.3 ; ATF 129 I 232 consid. 3.2, JdT 2004 I 588). Le droit d'être entendu est une garantie constitutionnelle de nature formelle, dont la violation entraîne l'annulation de la décision attaquée sans égard aux chances de succès du recours sur le fond (ATF 127 V 431 consid. 3d/aa). Ce moyen doit par conséquent être examiné en</w:t>
      </w:r>
    </w:p>
    <w:p>
      <w:r>
        <w:t>- 16 -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6B_76/2011 du 31 mai 2011 ; TF 4A_283/2013 du 20 août 2013, RSPC 1/2014 5 ; CACI).</w:t>
      </w:r>
    </w:p>
    <w:p>
      <w:r>
        <w:rPr>
          <w:b/>
        </w:rPr>
        <w:t>E. 6.2.2</w:t>
      </w:r>
    </w:p>
    <w:p>
      <w:r>
        <w:t>Selon l’art. 95 al. 3 let. c CPC, lorsqu'une partie n'a pas de représentant professionnel, les dépens comprennent une indemnité équitable pour les démarches effectuées, dans les cas où cela se justifie. Il est inhabituel que les coûts pour les démarches d’une partie non assistée par un avocat soient indemnisables, de sorte que cela nécessite une justification particulière (TF 4A_192/2016 du 22 juin 2016 consid. 8.2 ; TF 4A_233/2017 du 28 septembre 2017 consid. 4.1, RSPC 2018 p. 25).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 consid. 3b ; CREC 13 juillet 2017/201 consid. 3.2.1 ; CREC 7 septembre 2017/334 consid. 3.2).</w:t>
      </w:r>
    </w:p>
    <w:p>
      <w:r>
        <w:rPr>
          <w:b/>
        </w:rPr>
        <w:t>E. 6.3</w:t>
      </w:r>
    </w:p>
    <w:p>
      <w:r>
        <w:t>En l’espèce, s’il est exact que le jugement entrepris ne traite pas de la question de l’indemnité équitable, ce vice peut être réparé en appel, au vu du large pouvoir d’examen de l’autorité de céans, et il n’y a pas lieu d’annuler le jugement.</w:t>
      </w:r>
    </w:p>
    <w:p>
      <w:r>
        <w:t>- 17 - Les démarches entreprises par l’intimée et recourante, respectivement par son mari, dans le cadre de la procédure de première instance ne dépassent pas les procédés administratifs courants que tout un chacun doit accomplir sans être indemnisé. En particulier, l'intimée et recourante n'invoque pas le moindre manque à gagner lié aux heures consacrées au procès. Elle fait d'ailleurs uniquement état de discussions fréquentes au sein du couple, ce qui ne saurait en soi justifier une indemnisation, dont on rappellera qu’elle doit rester exceptionnelle.</w:t>
      </w:r>
    </w:p>
    <w:p>
      <w:r>
        <w:rPr>
          <w:b/>
        </w:rPr>
        <w:t>E. 7.1</w:t>
      </w:r>
    </w:p>
    <w:p>
      <w:r>
        <w:t>Compte tenu de ce qui précède, l’appel et le recours doivent être rejetés et le jugement entrepris confirmé.</w:t>
      </w:r>
    </w:p>
    <w:p>
      <w:r>
        <w:rPr>
          <w:b/>
        </w:rPr>
        <w:t>E. 7.2</w:t>
      </w:r>
    </w:p>
    <w:p>
      <w:r>
        <w:t>Il ne sera pas perçu de frais judiciaires de deuxième instance (art. 114 let. c CPC), si bien que l’avance de frais de 100 fr. versée par A.F.________ lui sera restituée (art. 111 al. 2 CPC).</w:t>
      </w:r>
    </w:p>
    <w:p>
      <w:r>
        <w:rPr>
          <w:b/>
        </w:rPr>
        <w:t>E. 7.3</w:t>
      </w:r>
    </w:p>
    <w:p>
      <w:r>
        <w:t>A.F.________ obtient gain de cause sur l’appel, mais elle ne saurait prétendre à une indemnité équitable au sens de l’art. 95 al. 3 let. c CPC, dès lors que ses démarches en deuxième instance ne dépassent pas les procédés administratifs courants que tout un chacun doit accomplir sans être indemnisé. G.________ obtient gain de cause sur le recours, mais il n’y a pas lieu de lui allouer des dépens, son conseil s’étant borné à répondre au recours par une simple lettre, de quelques lignes. Il ne sera dès lors pas alloué de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