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P317.021611 vom 15. Oktober 2018</w:t>
      </w:r>
    </w:p>
    <w:p>
      <w:r>
        <w:t>VD Tribunal cantonal, 2018-10-15, FR</w:t>
      </w:r>
    </w:p>
    <w:p>
      <w:r>
        <w:rPr>
          <w:b/>
        </w:rPr>
        <w:t xml:space="preserve">Quelle: </w:t>
      </w:r>
      <w:r>
        <w:t>https://mcp.opencaselaw.ch/entscheid/vd_gerichte_P317.021611</w:t>
      </w:r>
    </w:p>
    <w:p>
      <w:r>
        <w:t>FR: VD_GERICHTE P317.021611 du 15 octobre 2018</w:t>
      </w:r>
    </w:p>
    <w:p>
      <w:r>
        <w:t>IT: VD_GERICHTE P317.021611 del 15 ottobre 2018</w:t>
      </w:r>
    </w:p>
    <w:p>
      <w:pPr>
        <w:pStyle w:val="Heading2"/>
      </w:pPr>
      <w:r>
        <w:t>Erwägungen</w:t>
      </w:r>
    </w:p>
    <w:p>
      <w:r>
        <w:rPr>
          <w:b/>
        </w:rPr>
        <w:t>E. 3.1</w:t>
      </w:r>
    </w:p>
    <w:p>
      <w:r>
        <w:t>L’appelante reproche aux premiers juges une constatation inexacte des faits et une violation des art. 157 et 172 CPC. Elle soutient en substance que les premiers juges auraient considéré à tort que les témoignages d’E.________, W.________ et J.________ étaient contredits par l’intimée ou d’autres témoins et n’étaient pas suffisants pour établir les faits allégués. Les déclarations du témoin G.________ auraient au contraire corroboré les dires des trois premiers témoins. Il n’y aurait donc eu aucun motif d’écarter leurs déclarations. En définitive, les déclarations de ces témoins auraient permis d’établir que le comportement de l’intimée s’était dégradé à la fin de l’année 2016.</w:t>
      </w:r>
    </w:p>
    <w:p>
      <w:r>
        <w:rPr>
          <w:b/>
        </w:rPr>
        <w:t>E. 3.2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w:t>
      </w:r>
    </w:p>
    <w:p>
      <w:r>
        <w:t>- 8 - 5A_250/2012 du 18 mai 2012 consid. 7.4.1). Il n’y a pas de hiérarchie légale entre les moyens de preuve autorisés (Schweizer, CPC commenté, 2011,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 En outre, si l’interrogatoire de partie constitue un moyen de preuve, qui peut être retenu pour autant que cela soit compatible avec l’ensemble des preuves administrées (CACI 27 avril 2015/205 ; CACI 7 avril 2017/83), de manière générale, la déposition de partie n’a, en raison de la partialité de son auteur, qu’une faible force probante et doit être corroborée par un autre moyen de preuve (CACI 31 mars 2017/133 ; Schweizer, CPC commenté, op. cit., n. 15 ad art. 191 CPC).</w:t>
      </w:r>
    </w:p>
    <w:p>
      <w:r>
        <w:t>- 9 -</w:t>
      </w:r>
    </w:p>
    <w:p>
      <w:r>
        <w:rPr>
          <w:b/>
        </w:rPr>
        <w:t>E. 3.3</w:t>
      </w:r>
    </w:p>
    <w:p>
      <w:r>
        <w:t>Les premiers juges ont au cours de la procédure entendu plusieurs témoins, dont ils ont repris les déclarations dans la mesure nécessaire à l’établissement des faits. Ils ont toutefois retenu que les faits allégués par l’employeuse reposaient exclusivement sur les déclarations de son associé-gérant et de deux autres employés ayant un poste à responsabilité. Ils ont dès lors considéré que les déclarations de ces trois personnes n’étaient pas suffisantes à elles seules pour établir des faits contestés par l’employée et qui étaient au surplus contredits par d’autres témoins, anciens employés de la société.</w:t>
      </w:r>
    </w:p>
    <w:p>
      <w:r>
        <w:rPr>
          <w:b/>
        </w:rPr>
        <w:t>E. 3.4</w:t>
      </w:r>
    </w:p>
    <w:p>
      <w:r>
        <w:t>Entendus en qualité de témoins, J.________ et W.________ sont respectivement directeur et directeur gérant de l’appelante, tandis qu’E.________, responsable du personnel pour l’appelante, était la supérieure de l’intimée lors de son engagement. Compte tenu du rôle de ces personnes au sein de la société appelante, c’est à juste titre que les premiers juges n’ont pas tenu compte dans leur appréciation des déclarations de ces témoins, ce d’autant plus que celles-ci ne sont corroborées par aucun autre moyen de preuve. En particulier, si le témoin G.________, employé de l’appelante depuis novembre 2015, a bien assisté à un épisode de « friction » – pour reprendre ses termes – à l’occasion duquel le ton serait monté entre Z.________ et un des trois responsables de la société, ce témoin a toutefois déclaré que « ce genre de situation [était] normal au vu de la période de l’année » et a en outre relevé qu’Z.________ était agréable en tant que collègue et avec les clients. On ne saurait interpréter ces propos comme une confirmation de la dégradation du comportement de l’intimée à la fin de l’année 2016. En outre, contrairement aux affirmations de l’appelante, les premiers juges n’ont pas non plus tenu compte des déclarations du témoin L.________, laquelle a travaillé pour l’appelante d’octobre 2015 à mai 2016, s’agissant du comportement de l’intimée et des événements ayant mené à son licenciement, ceux-ci ayant eu lieu après la période d’activité dudit témoin. Ce raisonnement, pertinent, peut être suivi.</w:t>
      </w:r>
    </w:p>
    <w:p>
      <w:r>
        <w:t>- 10 - Pour ces motifs, c’est à juste titre que les premiers juges n’ont pas pris en compte les déclarations des témoins J.________, W.________ et E.________ et ont considéré comme non établis les allégués pour lesquels l’appelante a offert ce seul mode de preuve. Les premiers juges se sont donc livrés à une appréciation correcte des preuves.</w:t>
      </w:r>
    </w:p>
    <w:p>
      <w:r>
        <w:rPr>
          <w:b/>
        </w:rPr>
        <w:t>E. 4.1</w:t>
      </w:r>
    </w:p>
    <w:p>
      <w:r>
        <w:t>L’appelante soutient que le licenciement immédiat de l’intimée serait valable. L’attitude de l’intimée se serait progressivement dégradée, ce qui l’aurait conduite à l’avertir oralement à plusieurs reprises, notamment pour l’utilisation de son téléphone portable durant les heures de travail ou l’abandon de son poste de travail sans motif valable. L’intimée aurait également tenu des propos injurieux à l’égard de certains responsables, voire proféré des menaces. Ces faits résulteraient des déclarations des témoins E.________, W.________ et J.________, ainsi que des lettres d’avertissement du 25 octobre 2016 et de licenciement du 21 novembre suivant.</w:t>
      </w:r>
    </w:p>
    <w:p>
      <w:r>
        <w:rPr>
          <w:b/>
        </w:rPr>
        <w:t>E. 4.2.1</w:t>
      </w:r>
    </w:p>
    <w:p>
      <w:r>
        <w:t>L'art. 321a al. 1 CO dispose que « le travailleur exécute avec soin le travail qui lui est confié et sauvegarde fidèlement les intérêts légitimes de l'employeur ». En vertu de l’art. 337 al. 1, 1e phr., CO, les parties au contrat de travail peuvent résilier immédiatement le contrat en tout temps pour de justes motifs. Mesure exceptionnelle, une telle résiliation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Par manquement, on entend généralement la violation d'une obligation découlant du contrat de travail, mais d'autres incidents peuvent aussi justifier une telle mesure (ATF 137 III 303 consid. 2.1.1 ; ATF 130 III 28 consid. 4.1 ; ATF 129 III 380 consid. 2.2). Ce manquement doit être</w:t>
      </w:r>
    </w:p>
    <w:p>
      <w:r>
        <w:t>- 11 -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4A_124/2017 du 31 janvier 2018 consid. 3.1). Lorsqu'il est moins grave, le manquement ne peut entraîner une résiliation immédiate que s'il a été répété malgré un avertissement (ATF 142 III 579 consid. 4.2 ; ATF 130 III 213 consid. 3.1). On ne saurait poser des règles rigides sur le nombre et le contenu des avertissements dont la méconnaissance, par le travailleur, est susceptible de justifier un licenciement immédiat. Sont décisives les circonstances concrètes, notamment la nature et la gravité des manquements, leur fréquence ou leur durée, de même que l’attitude du travailleur face aux injonctions ou menaces formulées à son encontre (ATF 137 III 303 consid. 2.1.1 ; ATF 130 III 28 consid. 4.1 ; ATF 127 III 153 consid. 1c). En l’absence d’avertissement préalable, l’employeur ne peut pas invoquer des manquements de moindre importance pour soutenir que leur accumulation aurait peu à peu réduit puis rompu le lien de confiance et rendu la situation intenable (Favre/Munoz/Tobler, Le contrat de travail Code annoté, 2e éd., 2010, n. 1.32 ad art. 337 CO et les réf. cit.).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 Favre/Munoz/Tobler, op. cit., n. 1.33 ad art. 337 CO).</w:t>
      </w:r>
    </w:p>
    <w:p>
      <w:r>
        <w:rPr>
          <w:b/>
        </w:rPr>
        <w:t>E. 4.2.2</w:t>
      </w:r>
    </w:p>
    <w:p>
      <w:r>
        <w:t>Un acte agressif ou une menace peut, selon les circonstances, justifier ou non un licenciement immédiat (TF 4A_60/2014 du 22 juillet 2014 consid. 3.3). Il a ainsi été jugé que l'autorité cantonale avait abusé de son pouvoir d'appréciation en refusant d'admettre le licenciement</w:t>
      </w:r>
    </w:p>
    <w:p>
      <w:r>
        <w:t>- 12 - immédiat d'un employé ayant menacé un collègue de lui « faire la peau », cette menace ayant été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(ATF 127 III 351 consid. 4/b/dd). Le rapport de confiance a également été considéré comme rompu lorsque le comportement de l'employé à l'origine de la résiliation immédiate avait eu pour conséquence une perte d'autorité de l'employeur, établie par l'autorité cantonale. Cela peut être le cas, selon les circonstances, lorsque l'employé injurie son employeur devant tout le personnel réuni (TF 4C.435/2004 du 2 février 2005 consid. 4.4). N'abuse pas de son pouvoir d'appréciation le juge qui considère que des insultes, même grossières, d'un employé contre son chef d'atelier ne justifient pas un licenciement immédiat, lorsque l'altercation est la seule survenue après cinq mois de travail sans aucun incident (TF 4C.83/2004 du 29 avril 2004 consid. 3.1 ; dans le même sens, TF 6B_794/2007 du 14 avril 2008 consid. 3.1). En revanche, les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Commentaire romand du Code des obligations I, 2e éd., Bâle 2012, n. 7 ad art. 337 CO). Il faut distinguer l'infraction due à un état d'énervement et de perte de maîtrise de celle commise avec une intention de nuire à l'employeur. L'existence (ou l'absence) d'un risque de récidive de l'employé doit également être prise en considération (TF 4A_333/2009 du 3 décembre 2009 consid. 2.3, non publié in ATF 136 III 94).</w:t>
      </w:r>
    </w:p>
    <w:p>
      <w:r>
        <w:t>- 13 -</w:t>
      </w:r>
    </w:p>
    <w:p>
      <w:r>
        <w:rPr>
          <w:b/>
        </w:rPr>
        <w:t>E. 4.2.3</w:t>
      </w:r>
    </w:p>
    <w:p>
      <w:r>
        <w:t>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2013, n. 71 ad art. 337 CO ; Favre/Munoz/Tobler, op. cit., n. 3.1 ad art. 337 CO).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w:t>
      </w:r>
    </w:p>
    <w:p>
      <w:r>
        <w:rPr>
          <w:b/>
        </w:rPr>
        <w:t>E. 4.3</w:t>
      </w:r>
    </w:p>
    <w:p>
      <w:r>
        <w:t>Les premiers juges ont considéré qu’avant l’événement du 24 octobre 2016, l’intimée était une bonne employée, sympathique, souriante et avenante avec les clients et qu’aucune réelle critique ne lui avait été formulée. Une altercation étant survenue ce jour-là entre l’intimée et un des trois gérants, l’appelante a remis une lettre d’avertissement à l’intimée. Celle-ci l’a contestée, puis est partie en vacances deux semaines. A son retour, constatant qu’elle ne figurait plus sur le planning hebdomadaire, elle a tenté de prendre contact avec son employeuse et a offert en vain ses services. Les premiers juges ont retenu qu’en excluant son employée de la sorte, l’appelante ne lui avait donné aucune possibilité de rédemption. A la suite de l’entretien du 21 novembre 2016, l’intimée a reçu une lettre de licenciement immédiat, laquelle contenait des reproches qui ne lui avaient jamais été faits auparavant. Les premiers juges ont relevé que l’appelante, qui supportait le fardeau de la preuve des justes motifs du licenciement, avait offert de les</w:t>
      </w:r>
    </w:p>
    <w:p>
      <w:r>
        <w:t>- 14 - prouver par l’audition de trois personnes, toutes employées avec postes à responsabilité au sein de la société, mais que les déclarations de ces témoins n’étaient pas suffisantes dans la mesure où elles n’étaient pas confirmées par un autre moyen de preuve et étaient au surplus contredites par d’autres témoins, anciens employés. En outre, les arguments invoqués dans le courrier de licenciement ne justifiaient pas un licenciement immédiat, l’intimée – dont l’attitude, certes désobligeante, ne présentait pas une gravité suffisante – s’étant contentée de faire valoir son droit au salaire. De même, une partie des reproches signifiés lors du licenciement à l’intimée n’avaient jamais fait l’objet d’un avertissement avec menace de licenciement immédiat. Pour ces motifs, les premiers juges ont considéré que les faits établis ne constituaient pas de justes motifs de résiliation immédiate du contrat de travail.</w:t>
      </w:r>
    </w:p>
    <w:p>
      <w:r>
        <w:rPr>
          <w:b/>
        </w:rPr>
        <w:t>E. 4.4</w:t>
      </w:r>
    </w:p>
    <w:p>
      <w:r>
        <w:t>Ainsi, l’appelante, à qui incombait la preuve des justes motifs de licenciement, a offert de les prouver par l’audition de trois témoins. On a vu (cf. consid. 3 supra) que ces déclarations – dans la mesure où elles émanaient des responsables de l’appelante – ne suffisaient pas pour établir les faits allégués car elles n’étaient pas corroborées par d’autres éléments de preuve. C’est donc à bon droit que les premiers juges ont considéré que l’appelante avait échoué à établir l’existence des justes motifs invoqués. De même, les arguments soulevés dans le courrier de licenciement ne permettaient pas de justifier un licenciement immédiat, quand bien même on peut admettre, comme les premiers juges, que par son attitude désobligeante vis-à-vis de l’appelante, l’intimée pourrait avoir porté atteinte à son devoir de diligence et fidélité envers son employeur, sans toutefois que cette atteinte ait une gravité justifiant un tel licenciement. L’absence de justes motifs résulte également du fait que la plupart des comportements et attitudes décrits dans la lettre de licenciement n’ont pas fait l’objet d’un avertissement préalable avec menace de licenciement immédiat ; à tout le moins, l’appelante n’a pas établi l’existence de tels avertissements. L’appréciation des premiers juges ne prête dès lors pas le flanc à la critique et c’est à juste titre qu’ils</w:t>
      </w:r>
    </w:p>
    <w:p>
      <w:r>
        <w:t>- 15 - ont calculé le salaire auquel l’intimée aurait eu droit en cas de licenciement dans les délais légaux et de protection du fait de la grossesse de l’intimée au moment du licenciement.</w:t>
      </w:r>
    </w:p>
    <w:p>
      <w:r>
        <w:rPr>
          <w:b/>
        </w:rPr>
        <w:t>E. 5.1</w:t>
      </w:r>
    </w:p>
    <w:p>
      <w:r>
        <w:t>Dans un dernier moyen, l’appelante reproche aux premiers juges de ne pas avoir procédé à l’instruction des frais qu’Z.________ aurait pu épargner du fait de son licenciement immédiat (frais de déplacement, de crèche, etc.). Sans motiver son grief, l’appelante soutient également qu’aucune indemnité pour réparation du tort moral ne serait due.</w:t>
      </w:r>
    </w:p>
    <w:p>
      <w:r>
        <w:rPr>
          <w:b/>
        </w:rPr>
        <w:t>E. 5.2</w:t>
      </w:r>
    </w:p>
    <w:p>
      <w:r>
        <w:t>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 elle ne peut toutefois pas dépasser le montant correspondant à six mois de salaire du travailleur (al. 3). La prétention du travailleur fondée sur l’art. 337c al. 1 CO représente une créance en dommages-intérêts positifs ; le travailleur doit se retrouver dans la même situation pécuniaire que si la résiliation immédiate n’avait pas eu lieu Wyler/Heinzer, Droit du travail, 3e éd., 2014, p. 604-605). 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 cit. ; Carruzzo, Le contrat individuel de travail, 2009, n. 2 ad art. 337c CO).</w:t>
      </w:r>
    </w:p>
    <w:p>
      <w:r>
        <w:t>- 16 -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qui ne peut pas dépasser le montant correspondant à six mois de salaire du travailleur, a une double finalité, punitive et réparatrice (ATF 129 III 380 consid. 4.3 ; ATF 123 III 391 consid. 3c). Elle ne représente pas des dommages-intérêts au sens classique, car elle est due même si la victime ne subit ou ne prouve aucun dommage ; revêtant un caractère sui generis, elle s'apparente à une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 ATF 121 III 64 consid. 3c ; Carruzzo, op cit., n. ad art. 337c CO ; Wyler/Heinzer, op. cit., pp. 609 s.). Aucun de ces facteurs n'est décisif en lui-même (ATF 121 III 64 consid. 3c) et l’éventuelle faute concomitante du travailleur est un facteur de réduction ou de suppression de l'indemnité de l'al. 3 de l'art. 337c CO (ATF 120 II 243 consid. 3e).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w:t>
      </w:r>
    </w:p>
    <w:p>
      <w:r>
        <w:rPr>
          <w:b/>
        </w:rPr>
        <w:t>E. 5.3</w:t>
      </w:r>
    </w:p>
    <w:p>
      <w:r>
        <w:t>En l’espèce, les premiers juges se sont livrés au calcul de la moyenne brute du salaire de l’intimée – calcul qui n’est pas remis en cause par l’appelante – et ont considéré que l’intimée aurait gagné 25'698 fr. 75 brut jusqu’au 30 septembre 2017, date d’un licenciement ordinaire.</w:t>
      </w:r>
    </w:p>
    <w:p>
      <w:r>
        <w:t>- 17 - Se fondant sur le principe de disposition, les premiers juges ont toutefois alloué à l’intimée la somme de 20'135 fr. 85 brut, correspondant aux conclusions prises par cette dernière en procédure. Le montant alloué correspond à une diminution de près de 20 % du montant dû. Cette diminution est susceptible d’englober largement les éventuels frais d’acquisition du revenu que l’intimée pourrait avoir économisés ; au demeurant, l’appelante n’a pas allégué ni établi les montants que l’intimée aurait économisés. Le montant alloué par les premiers juges peut dès lors être confirmé.</w:t>
      </w:r>
    </w:p>
    <w:p>
      <w:r>
        <w:rPr>
          <w:b/>
        </w:rPr>
        <w:t>E. 5.4</w:t>
      </w:r>
    </w:p>
    <w:p>
      <w:r>
        <w:t>Enfin, s’agissant de l’indemnité pour tort moral correspondant à deux mois de salaire allouée à l’intimée, l’appelante ne motive pas son grief. On relève que les premiers juges ont pris en compte le fait qu’un manquement à son obligation de diligence et de fidélité, certes dénué de gravité, pouvait être reproché à l’intimée et que celle-ci travaillait depuis deux ans pour l’appelante. Cette appréciation apparaît équitable au vu de ces circonstances et peut être confirmée.</w:t>
      </w:r>
    </w:p>
    <w:p>
      <w:r>
        <w:rPr>
          <w:b/>
        </w:rPr>
        <w:t>E. 6.1</w:t>
      </w:r>
    </w:p>
    <w:p>
      <w:r>
        <w:t>Pour ces motifs, l’appel, manifestement mal fondé, doit être rejeté selon le mode procédural de l’art. 312 al. 1 CPC et le jugement confirmé.</w:t>
      </w:r>
    </w:p>
    <w:p>
      <w:r>
        <w:rPr>
          <w:b/>
        </w:rPr>
        <w:t>E. 6.2</w:t>
      </w:r>
    </w:p>
    <w:p>
      <w:r>
        <w:t>Il n’est pas perçu de frais judiciaires de deuxième instance dans les procédures portant sur un contrat de travail, lorsque la valeur litigieuse n’excède pas 30'000 francs (art. 114 let. c CPC), cette hypothèse étant réalisée en l’espèce.</w:t>
      </w:r>
    </w:p>
    <w:p>
      <w:r>
        <w:rPr>
          <w:b/>
        </w:rPr>
        <w:t>E. 6.3</w:t>
      </w:r>
    </w:p>
    <w:p>
      <w:r>
        <w:t>L’intimée n’ayant pas été invitée à se déterminer, il n’y a pas lieu à l’allocation de dépens.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