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P316.047818 vom 19. September 2018</w:t>
      </w:r>
    </w:p>
    <w:p>
      <w:r>
        <w:t>VD Tribunal cantonal, 2018-09-19, FR</w:t>
      </w:r>
    </w:p>
    <w:p>
      <w:r>
        <w:rPr>
          <w:b/>
        </w:rPr>
        <w:t xml:space="preserve">Quelle: </w:t>
      </w:r>
      <w:r>
        <w:t>https://mcp.opencaselaw.ch/entscheid/vd_gerichte_P316.047818</w:t>
      </w:r>
    </w:p>
    <w:p>
      <w:r>
        <w:t>FR: VD_GERICHTE P316.047818 du 19 septembre 2018</w:t>
      </w:r>
    </w:p>
    <w:p>
      <w:r>
        <w:t>IT: VD_GERICHTE P316.047818 del 19 settembre 2018</w:t>
      </w:r>
    </w:p>
    <w:p>
      <w:pPr>
        <w:pStyle w:val="Heading2"/>
      </w:pPr>
      <w:r>
        <w:t>Erwägungen</w:t>
      </w:r>
    </w:p>
    <w:p>
      <w:r>
        <w:rPr>
          <w:b/>
        </w:rPr>
        <w:t>E. 6</w:t>
      </w:r>
    </w:p>
    <w:p>
      <w:r>
        <w:t>ad art. 310 CPC). 3. 3.1 L’appelant soutient que l’intimée aurait créé l’apparence que C.V.________ avait les pouvoirs de la représenter et qu’elle pouvait valablement l’engager, notamment lors de la conclusion d’un contrat de travail. Il se prévaut à cet égard des actes de l’intimée, principalement du fait qu’elle avait mentionné sur son site internet que C.V.________ était « responsable de la franchise FR ». Il fait ainsi valoir qu’il se serait fié de bonne foi à la communication qui a été faite par l’intimée et qu’il aurait été conforté dans cette apparence par C.V.________. Il conteste pour le surplus avoir sciemment évité de procéder à des vérifications et considère qu’il n’avait pas à entreprendre des recherches. 3.2 3.2.1 Sont parties au contrat les sujets de droit pour lesquels prendront naissance les effets du contrat. Il s’agit en principe de ceux qui négocient et concluent le contrat par l’échange de manifestations de volonté réciproques et concordantes (art. 1 al. 1 CO). La loi admet toutefois, à certaines conditions, que l’acte juridique d’une personne puisse lier autrui par l’effet d’une représentation directe (Chappuis, Commentaire romand CO I, 2e éd., 2012, n. 1 ad art. 32 CO). L’art. 32 al. 1 CO dispose que les droits et obligations dérivant d’un contrat fait au nom d’une autre personne par un représentant autorisé passent au représenté. Il s’ensuit que le représentant n'est pas lié par l'acte accompli : seul le représenté est lié au tiers, dont il devient directement créancier ou débiteur (Chappuis, op. cit., n. 20 ad art. 32 CO). Les effets de la représentation ne naissent que si le représentant a</w:t>
      </w:r>
    </w:p>
    <w:p>
      <w:r>
        <w:t>- 13 - manifesté, expressément ou tacitement, sa volonté d'agir au nom d'autrui et s'il dispose du pouvoir de représentation, c'est-à-dire s'il est habilité à faire naître des droits et des obligations directement en faveur et à la charge du représenté (TF 4A_378/2016 du 11 janvier 2017 consid. 3.2.3.1 ; ATF 126 III 59 consid. 1b, JdT 2001 I 144 ; Watter, Basler Kommentar OR I, 6e éd., 2015, n. 12 ad art. 32 CO). Le représentant est réputé agir au nom d’autrui dans trois situations : il se fait connaître comme tel ; il ne se fait pas connaître comme tel, mais le tiers doit inférer des circonstances qu'il existe un rapport de représentation ; il est indifférent au tiers de traiter avec le représentant ou le représenté (art. 32 al. 2 CO). La communication de la volonté d’agir au nom du représenté peut être expresse ou résulter d’actes concluants (Watter, op. cit., nn. 16s ad art. 32 CO et les réf. citées).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4A_317/2010 du 5 octobre 2010 consid. 3.2.2 et les réf. citées ; ATF 120 II 197 consid. 2b/aa, JdT 1995 I 194).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consid. 4.1 ; ATF 126 III 59 consid. 1b). Les pouvoirs de représentation sont octroyés par un acte juridique unilatéral sujet à réception, par lequel le représenté manifeste au représentant sa volonté de l’autoriser à agir en son nom (Chappuis, op. cit., nn. 5 et 6 ad art. 33 CO ; Zäch/Künzler, Berner Kommentar, 2e éd., 2014, n. 28 ad art. 33 CO). Conformément aux règles générales, l’octroi des pouvoirs de représentation peut intervenir en termes exprès ou par actes concluants (Watter, op. cit., n. 15 ad art. 33 CO). Sur le plan interne</w:t>
      </w:r>
    </w:p>
    <w:p>
      <w:r>
        <w:t>- 14 - – c’est-à-dire dans les rapports entre représenté et représentant –, l’existence des pouvoirs de représentation peut être inférée de la passivité du représenté, qui tolère sans réagir des actes de représentation pendant une certaine durée (procuration tolérée, « Duldungsvollmacht » ; cf. Chappuis, op. cit., nn. 11 et 12 ad art. 33 CO ; Watter, op. cit., n. 16 ad art. 33 CO et les réf. citées ; Zäch/Künzler, op. cit., nn. 47 ss ad art. 33 CO). 3.2.2 La communication externe des pouvoirs peut intervenir de manière expresse ou par actes concluants ; comme sur le plan interne, elle peut résulter d’un comportement passif du représenté, pour autant que le tiers puisse comprendre cette attitude comme la communication de pouvoirs de représentation (ATF 4A_313/2010 du 3 septembre 2010 consid. 3.4.2.3 ; Watter, op. cit., n. 31 ad art. 33 CO). La question de savoir si le représenté peut être considéré comme lié envers les tiers par les actes abusivement accomplis en son nom par le représentant doit être tranchée en regard de l'art. 33 al. 3 CO, disposition qui règle le cas de la procuration externe apparente.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même si les pouvoirs ne couvraient pas l'acte accompli. Cette protection est cependant subordonnée à deux conditions, à savoir une communication des pouvoirs par le représenté au tiers et la bonne foi de ce dernier. Il est admis que la communication des pouvoirs par le représenté peut s'exprimer au moyen d'une procuration fournie par le représentant au tiers. La portée de la communication doit être examinée avant tout selon le principe de la confiance. L'idée est que celui qui laisse créer l'apparence d'un pouvoir de représentation se trouve lié par les actes accomplis en son nom (ATF 131 III 511 consid. 3.2 et les réf. citées). 3.3 En l’espèce, il ne s’agit pas d’examiner le comportement du représentant, mais bien davantage celui du représenté, pour savoir si les conditions de l’art. 33 al. 3 CO sont réalisées.</w:t>
      </w:r>
    </w:p>
    <w:p>
      <w:r>
        <w:t>- 15 - Il est admis que l’intimée n’a jamais communiqué expressément à l’appelant que C.V.________ avait un quelconque pouvoir de représentation. Il convient dès lors d’examiner si elle a, d’une quelconque manière, soit en raison d’actes concluants ou d’une éventuelle passivité, créé l’apparence d’un pouvoir de représentation. Tel n’est pas le cas en l’occurrence. En effet, le seul comportement actif de l’intimée a consisté à faire figurer sur son site internet une page intitulée « l’équipe X.________Sàrl» où apparaissent côte à côte les photographies d’A.V.________, de son épouse B.V.________, de sa fille C.V.________ et de l’employé Q.________. Ces quatre personnes sont désignées comme étant des experts en diagnostic amiante. S’agissant de C.V.________, il était précisé au moment des faits qu’elle était également « responsable de la franchise FR », qu’elle était devenue experte en diagnostic amiante en 2013 et responsable de la franchise pour le canton de Fribourg à la fin 2015. Ces indications sont toutefois insuffisantes pour en déduire un quelconque pouvoir de représentation, étant relevé qu’un franchisé est un commerçant juridiquement et financièrement indépendant de son franchiseur et qu’il est évident qu’il ne saurait conclure des contrats – plus précisément des contrats de travail – au nom et pour le compte du franchiseur. En effet, le contrat de franchise est un contrat par lequel une personne concède à une autre, contre paiement d'une redevance, le droit de vendre certaines marchandises ou de fournir certains services en utilisant notamment son image, son nom, sa marque, ainsi que son expérience commerciale et technique, tout en respectant les systèmes d'organisation et de marketing existants (de Haller, Le contrat de franchise en droit suisse, thèse Lausanne 1978, pp. 55 s.; Tercier/Favre, Les contrats spéciaux, 4e éd., 2009, n. 8011; Engel/Thévenaz, Le contrat de franchise, in Les contrats de distribution – quelques aspects juridiques, Contributions offertes au Professeur François Dessemontet à l'occasion de ses 50 ans, pp. 75 ss, spéc. p. 77). Pour le surplus, on ne discerne aucun acte, ni aucune passivité de l’intimée, qui aurait pu créer l’apparence d’un pouvoir de</w:t>
      </w:r>
    </w:p>
    <w:p>
      <w:r>
        <w:t>- 16 - représentation. Au contraire, il résulte des faits non contestés que l’appelant n’a jamais rencontré A.V.________, soit le seul associé-gérant de la société inscrit au Registre du commerce, et qu’il ne s’est jamais rendu dans les locaux de l’entreprise. Par ailleurs, au mois d’avril 2016, lorsqu’il a décidé de se rendre dans les bureaux de l’intimée pour rencontrer A.V.________ parce qu’il n’était toujours pas payé, l’associé-gérant lui a indiqué qu’il ne le connaissait pas et que sa fille avait déjà commis la même imprudence par le passé. A défaut de toute communication des pouvoirs par le représenté, et dès lors qu’on ne peut pas admettre qu’il ait laissé créer l'apparence d'un pouvoir de représentation, la bonne foi du tiers n’a pas besoin d’être examinée. Faute de procuration externe apparente, on doit ainsi nier toute relation contractuelle entre l’intimée et l’appelant. 4. 4.1 Subsidiairement, l’appelant fait valoir que la responsabilité de l’intimée serait engagée en raison du comportement de son employée C.V.________, en application de l’art. 55 CO. 4.2 Aux termes de l’art. 59 CPC, le tribunal n’entre en matière que sur les demandes et les requêtes qui satisfont aux conditions de recevabilité de l’action (al. 1). Une de ces conditions est notamment la compétence du tribunal à raison de la matière et du lieu (art. 59 al. 2 let. b CPC). 4.3 En l’espèce, le grief soulevé ne saurait être examiné, dès lors qu’il ne relève pas de la juridiction spécialisée qu’est le tribunal de prud’hommes, faute de toute relation contractuelle entre les parties (art. 1 LJT [Loi sur la juridiction du travail du 12 janvier 2010, RSV 173.01]).</w:t>
      </w:r>
    </w:p>
    <w:p>
      <w:r>
        <w:t>- 17 - 5. 5.1 En définitive, l’appel doit être rejeté dans la mesure où il est recevable selon l’art. 312 al. 1 in fine CPC et le jugement confirmé. 5.2 L’appelant a requis le bénéfice de l’assistance judiciaire pour la procédure d’appel. Au vu des considérations qui précèdent, l'appel était d'emblée dépourvu de chances de succès et la requête d’assistance judiciaire doit dès lors être rejetée (art. 117 let. b CPC). 5.3 L’arrêt sera rendu sans frais judiciaires de deuxième instance, s'agissant d'un litige portant sur un contrat de travail dont la valeur litigieuse n’excède pas 30'000 fr. (art. 114 let. c CPC). Il n’y a pour le surplus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