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P316.042645 vom 3. Juli 2018</w:t>
      </w:r>
    </w:p>
    <w:p>
      <w:r>
        <w:t>VD Tribunal cantonal, 2018-07-03, FR</w:t>
      </w:r>
    </w:p>
    <w:p>
      <w:r>
        <w:rPr>
          <w:b/>
        </w:rPr>
        <w:t xml:space="preserve">Quelle: </w:t>
      </w:r>
      <w:r>
        <w:t>https://mcp.opencaselaw.ch/entscheid/vd_gerichte_P316.042645</w:t>
      </w:r>
    </w:p>
    <w:p>
      <w:r>
        <w:t>FR: VD_GERICHTE P316.042645 du 3 juillet 2018</w:t>
      </w:r>
    </w:p>
    <w:p>
      <w:r>
        <w:t>IT: VD_GERICHTE P316.042645 del 3 luglio 2018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Enfin, comme ultime moyen, l'appelante soutient qu'il n'y avait aucun motif d'attribuer exclusivement à la seule part variable – et non fixe de 2'000 fr. – de la rémunération de l'intimé les montants versés à ce dernier. Ce moyen confine à la témérité. En effet, l'appelante a expressément reconnu que la part fixe du salaire de l'intimé ne lui avait pas été versée, ce que les premiers juges ont du reste retenu (cf. le témoignage de C.________, qui, à l’époque, était administrateur avec signature individuelle de l'appelante). Là aussi ce moyen doit être rejeté.</w:t>
      </w:r>
    </w:p>
    <w:p>
      <w:r>
        <w:rPr>
          <w:b/>
        </w:rPr>
        <w:t>E. 8</w:t>
      </w:r>
    </w:p>
    <w:p>
      <w:r>
        <w:t>En définitive, l'appel doit être rejeté et le jugement confirmé.</w:t>
      </w:r>
    </w:p>
    <w:p>
      <w:r>
        <w:t>- 15 - Il n’est pas prélevé de frais, la procédure étant gratuite en matière de litiges relevant d’un contrat de travail lorsque la valeur litigeuse est inférieure à 30'000 fr. (art. 114 let. c CPC). L’appelante versera à l’intimé la somme de 2'500 fr. à titre de dépens de deuxième instance (art. 106 al. 1 CPC, art. 3 al. 2 et 7 al. 1 TDC [tarif des dépens en matière civile du 23 novembre 2010 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