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P315.047476 vom 18. April 2016</w:t>
      </w:r>
    </w:p>
    <w:p>
      <w:r>
        <w:t>VD Tribunal cantonal, 2016-04-18, FR</w:t>
      </w:r>
    </w:p>
    <w:p>
      <w:r>
        <w:rPr>
          <w:b/>
        </w:rPr>
        <w:t xml:space="preserve">Quelle: </w:t>
      </w:r>
      <w:r>
        <w:t>https://mcp.opencaselaw.ch/entscheid/vd_gerichte_P315.047476</w:t>
      </w:r>
    </w:p>
    <w:p>
      <w:r>
        <w:t>FR: VD_GERICHTE P315.047476 du 18 avril 2016</w:t>
      </w:r>
    </w:p>
    <w:p>
      <w:r>
        <w:t>IT: VD_GERICHTE P315.047476 del 18 aprile 2016</w:t>
      </w:r>
    </w:p>
    <w:p>
      <w:pPr>
        <w:pStyle w:val="Heading2"/>
      </w:pPr>
      <w:r>
        <w:t>Erwägungen</w:t>
      </w:r>
    </w:p>
    <w:p>
      <w:r>
        <w:rPr>
          <w:b/>
        </w:rPr>
        <w:t>E. 1</w:t>
      </w:r>
    </w:p>
    <w:p>
      <w:r>
        <w:t>La partie qui saisit le tribunal peut être tenue de fournir une avance à concurrence de la totalité des frais judiciaires présumés (art. 98 CPC [Code de procédure civile du 19 décembre 2008, RS 272]). Si l'avance requise n’est pas versée à l’échéance d’un délai supplémentaire fixé à cet effet après un premier non-paiement, le tribunal n’entre pas en matière sur la demande ou la requête (art. 101 al. 3 CPC).</w:t>
      </w:r>
    </w:p>
    <w:p>
      <w:r>
        <w:rPr>
          <w:b/>
        </w:rPr>
        <w:t>E. 2</w:t>
      </w:r>
    </w:p>
    <w:p>
      <w:r>
        <w:t>Par acte du 27 février 2016, P.________ a fait appel de la décision rendue le 28 janvier 2016 par la Présidente du Tribunal de prud’hommes de l’arrondissement de La Côte. Par avis du 7 mars 2016, le greffe de la Cour d’appel civile du Tribunal cantonal a invité l’appelante à s’acquitter d’une avance de frais de 1'973 fr. d’ici au 29 mars 2016. L’appelante ne s’étant pas exécutée, un délai supplémentaire non prolongeable de cinq jours lui a été imparti par avis du 5 avril 2016, avec l’indication qu’à défaut de paiement, l’appel serait déclaré irrecevable.</w:t>
      </w:r>
    </w:p>
    <w:p>
      <w:r>
        <w:rPr>
          <w:b/>
        </w:rPr>
        <w:t>E. 3</w:t>
      </w:r>
    </w:p>
    <w:p>
      <w:r>
        <w:t>L’appelante n'ayant pas effectué l'avance de frais requise dans le délai supplémentaire imparti, l'appel doit être déclaré irrecevable (art 101 al. 3 CPC), ce qui relève de la compétence du juge délégué de la Cour de céans (art. 43 al. 1 let. b CDPJ [Code de droit privé judiciaire vaudois du 12 janvier 2010, RSV 211.02]).</w:t>
      </w:r>
    </w:p>
    <w:p>
      <w:r>
        <w:rPr>
          <w:b/>
        </w:rPr>
        <w:t>E. 4</w:t>
      </w:r>
    </w:p>
    <w:p>
      <w:r>
        <w:t>Le présent arrêt peut être rendu sans frais judiciaires (art. 11 TFJC [tarif du 28 septembre 2010 des frais judiciaires civils, RSV 270.11.5]).</w:t>
      </w:r>
    </w:p>
    <w:p>
      <w:r>
        <w:t>- 3 - Par ces motifs, la juge déléguée de la Cour d’appel civile prononce : I. L’appel est irrecevable. II. L'arrêt, rendu sans frais, est exécutoire. La juge déléguée : Le greffier : Du Le présent arrêt, dont la rédaction a été approuvée à huis clos, est notifié à : - la société P.________, - M. N.________, et communiqué, par l'envoi de photocopies, à : - Mme la Présidente du Tribunal de prud’hommes de l’arrondissement de La Côte. La juge déléguée de la Cour d’appel civile considère que la valeur litigieuse est supérieure à 30’000 francs.</w:t>
      </w:r>
    </w:p>
    <w:p>
      <w:r>
        <w:t>- 4 -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