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P314.048383 vom 1. Juni 2016</w:t>
      </w:r>
    </w:p>
    <w:p>
      <w:r>
        <w:t>VD Tribunal cantonal, 2016-06-01, FR</w:t>
      </w:r>
    </w:p>
    <w:p>
      <w:r>
        <w:rPr>
          <w:b/>
        </w:rPr>
        <w:t xml:space="preserve">Quelle: </w:t>
      </w:r>
      <w:r>
        <w:t>https://mcp.opencaselaw.ch/entscheid/vd_gerichte_P314.048383</w:t>
      </w:r>
    </w:p>
    <w:p>
      <w:r>
        <w:t>FR: VD_GERICHTE P314.048383 du 1 juin 2016</w:t>
      </w:r>
    </w:p>
    <w:p>
      <w:r>
        <w:t>IT: VD_GERICHTE P314.048383 del 1 giugno 2016</w:t>
      </w:r>
    </w:p>
    <w:p>
      <w:pPr>
        <w:pStyle w:val="Heading2"/>
      </w:pPr>
      <w:r>
        <w:t>Erwägungen</w:t>
      </w:r>
    </w:p>
    <w:p>
      <w:r>
        <w:rPr>
          <w:b/>
        </w:rPr>
        <w:t>E. 5</w:t>
      </w:r>
    </w:p>
    <w:p>
      <w:r>
        <w:t>En définitive, l’appel doit être rejeté et le jugement entrepris confirmé. L’appel apparaissant d’emblée dépourvu de chance de succès dans son résultat, la requête d’assistance judiciaire de l’appelant sera également rejetée (art. 117 let. b et 119 al. 3 CPC). Les frais judiciaires de deuxième instance, arrêtés à 800 fr. (art. 62 al. 1 TFJC [tarif des frais judiciaires civils du 28 septembre 2010 ; RSV 270.11.5]), seront mis à la charge de l’appelant qui succombe (art. 106 al. 1 (CPC).</w:t>
      </w:r>
    </w:p>
    <w:p>
      <w:r>
        <w:rPr>
          <w:b/>
        </w:rPr>
        <w:t>E. 6</w:t>
      </w:r>
    </w:p>
    <w:p>
      <w:r>
        <w:t>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