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P313.040962 vom 12. Mai 2015</w:t>
      </w:r>
    </w:p>
    <w:p>
      <w:r>
        <w:t>VD Tribunal cantonal, 2015-05-12, FR</w:t>
      </w:r>
    </w:p>
    <w:p>
      <w:r>
        <w:rPr>
          <w:b/>
        </w:rPr>
        <w:t xml:space="preserve">Quelle: </w:t>
      </w:r>
      <w:r>
        <w:t>https://mcp.opencaselaw.ch/entscheid/vd_gerichte_P313.040962</w:t>
      </w:r>
    </w:p>
    <w:p>
      <w:r>
        <w:t>FR: VD_GERICHTE P313.040962 du 12 mai 2015</w:t>
      </w:r>
    </w:p>
    <w:p>
      <w:r>
        <w:t>IT: VD_GERICHTE P313.040962 del 12 maggio 2015</w:t>
      </w:r>
    </w:p>
    <w:p>
      <w:pPr>
        <w:pStyle w:val="Heading2"/>
      </w:pPr>
      <w:r>
        <w:t>Erwägungen</w:t>
      </w:r>
    </w:p>
    <w:p>
      <w:r>
        <w:rPr>
          <w:b/>
        </w:rPr>
        <w:t>E. 1</w:t>
      </w:r>
    </w:p>
    <w:p>
      <w:r>
        <w:t>Par courrier du 29 juin 2012 faisant suite à un entretien du même jour, N.________ a résilié le contrat de travail de A.________ pour le 31 août 2012, en se référant à la lettre d’avertissement qui lui avait été adressée le 14 juin 2011. Celui-ci a été immédiatement libéré de son obligation de travailler. Par courrier du 9 août 2012, N.________ a reporté le terme du congé au 30 septembre 2012, vu l’incapacité de travail du prénommé du 29 juin au 6 juillet 2012, attestée par certificat de travail.</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dépasse 10'000 fr. (art. 308 al. 2 CPC). A teneur de l’art. 311 al. 1 CPC, l’appel doit être introduit par un acte écrit et motivé. L’appel déployant principalement un effet réformatoire (art. 318 al. 1 let. a et b CPC), l’appelant doit prendre des conclusions au fond permettant à l’instance d’appel de statuer à nouveau. Ses conclusions doivent être suffisamment précises pour qu’en cas d’admission de l’appel, elles puissent être reprises telles quelles dans le dispositif (ATF 137 III 617 c. 4.3 et 6.1, JT 2014 II 187 ; TF 4D_8/2013 du 15 février 2013 c. 4.2 ; TF 4A_383/2013 du 2 décembre 2013 c. 3.2.1, RSPC 2014 p. 221) ; il s’ensuit qu’en matière pécuniaire, les conclusions d’appel doivent être chiffrées, sous peine d’irrecevabilité. (ATF 137 III 617, rés. in SJ 2012 I 373, c. 4.3 et 4.4 et les références citées). Il ne saurait être remédié à ce vice par la fixation d’un délai à forme de l’art. 132 CPC (ATF 137 III 617 c. 4 et 5, JT 2014 II 187) ou de l’art. 56 CPC (TF 5A_855/2012 du 13 février 2013 c. 5, RSPC 2013 p. 257). Exceptionnellement, il doit être entré en matière sur des conclusions formellement déficientes, lorsqu’on comprend à la lecture de la motivation ce que demande l’appelant, respectivement à quel montant il prétend. Les conclusions doivent en effet être interprétées à la lumière de la motivation de l’appel (ATF 137 III 617 c. 6.2, JT 2014 II 187 ; TF 5A_855/2012 du 13 février 2013 c. 3.3.2 ; TF 5A_713/2012 du 15 février 2013 c. 4.1 ; TF 5A_621/2012 du 20 mars 2013, liquidation du régime matrimonial ; TF 4a_383/2013 du 2 décembre 2013 c. 3.2.1, RSPC 2014 p. 221). Lorsque le sort des frais est réglé dans une décision finale et qu’une partie fait appel sur d’autres points, c’est dans le cadre de l’appel que les griefs concernant les frais seront réglés (Tappy, CPC commenté, n. 12 ad art. 110 CPC). La recevabilité de l’appel dépend cependant des</w:t>
      </w:r>
    </w:p>
    <w:p>
      <w:r>
        <w:t>- 5 - griefs soulevés par l’appelant ; il faudra qu’il fasse valoir valablement, en sus des contestations relatives au sort des frais, au moins un grief au sujet des questions de fond ou de recevabilité tranchées par la décision en question. A ce défaut, son appel sera irrecevable comme tel, mais pourra être converti en recours (Tappy, op. cit., n. 13 ad art. 110 CPC).</w:t>
      </w:r>
    </w:p>
    <w:p>
      <w:r>
        <w:rPr>
          <w:b/>
        </w:rPr>
        <w:t>E. 1.2</w:t>
      </w:r>
    </w:p>
    <w:p>
      <w:r>
        <w:t>En l’espèce, s’il considère toujours avoir fait l’objet d’un licenciement abusif, A.________ ne prend aucune conclusion chiffrée, hormis en ce qui concerne les dépens. Son appel sur le fond est dès lors irrecevable et sa contestation sur les dépens, qui n’est liée à aucun autre grief recevable en appel, devra être tranchée dans le cadre du recours.</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in Basler Kommentar, 2e éd. 2013, n. 26 ad art. 319 CPC). Elle revoit librement les questions de droit soulevées par le recourant et peut substituer ses propres motifs à ceux de l'autorité précédente ou du recourant (Hohl, Procédure civile, tome II, 2e éd., 2010, n. 2508).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2e éd., 2014, n. 27 ad art. 97 LTF).</w:t>
      </w:r>
    </w:p>
    <w:p>
      <w:r>
        <w:rPr>
          <w:b/>
        </w:rPr>
        <w:t>E. 3.1</w:t>
      </w:r>
    </w:p>
    <w:p>
      <w:r>
        <w:t>Le recourant se prévaut de la gratuité de la procédure, vu la valeur litigieuse inférieure à 30'000 francs. Il considère en outre que le renvoi de l’audience est intervenu de l’accord des parties et ne justifie pas des dépens de 2'500 francs.</w:t>
      </w:r>
    </w:p>
    <w:p>
      <w:r>
        <w:rPr>
          <w:b/>
        </w:rPr>
        <w:t>E. 3.2</w:t>
      </w:r>
    </w:p>
    <w:p>
      <w:r>
        <w:t>Selon l’art. 114 let. c CPC, il n’est pas perçu de frais judiciaires dans les litiges portant sur un contrat de travail, lorsque la valeur litigieuse</w:t>
      </w:r>
    </w:p>
    <w:p>
      <w:r>
        <w:t>- 6 - n’excède pas 30'000 francs. Le Tribunal de prud’hommes a suivi cette règle en rendant sa décision sans frais. Toutefois, la gratuité ne concerne que les frais judiciaires et non les dépens au sens de l’art. 95 al. 3 CPC, à savoir le défraiement du représentant de la partie adverse qui obtient gain de cause. Les dépens ne sont donc pas supprimés par la gratuité de l’art. 114 let. c CPC (CACI 26 avril 2013/218 ; CREC 14 novembre 2013/373 ; Tappy, op. cit., n. 13 ad art. 114 CPC).</w:t>
      </w:r>
    </w:p>
    <w:p>
      <w:r>
        <w:rPr>
          <w:b/>
        </w:rPr>
        <w:t>E. 3.3</w:t>
      </w:r>
    </w:p>
    <w:p>
      <w:r>
        <w:t>En l’espèce, c’est donc à juste titre que des dépens ont été alloués à N.________, qui a obtenu gain de cause et a procédé par l’intermédiaire d’un avocat. Quant à la quotité des dépens, elle se situe dans la fourchette de l’art. 5 TDC (tarif des dépens en matière civile du 23 novembre 2010 ; RSV 270.11.6), qui dispose qu’en matière de procédure simplifiée, le défraiement est fixé entre 1'500 et 5'000 fr. lorsque la valeur litigieuse se situe entre 10'001 et 30'000 francs. Elle tient compte de manière adéquate des opérations intervenues, notamment de la nécessité d’une deuxième audience. On relèvera à cet égard qu’il ressort du procès-verbal de l’audience du 16 juin 2014 que c’est bien le recourant qui a requis le renvoi de l’audience afin de pouvoir consulter un avocat et il importe peu que sa partie adverse ait déclaré ne pas s’opposer à son renvoi.</w:t>
      </w:r>
    </w:p>
    <w:p>
      <w:r>
        <w:rPr>
          <w:b/>
        </w:rPr>
        <w:t>E. 4</w:t>
      </w:r>
    </w:p>
    <w:p>
      <w:r>
        <w:t>En conclusion, le recours, manifestement infondé (art. 322 al. 1 CPC), doit être rejeté dans la mesure de sa recevabilité et le jugement confirmé. L’arrêt peut être rendu sans frais (art. 6 al. 3 TFJC [tarif des frais judiciaires civils du 28 septembre 2010 ; RSV 270.11.5]). Il n’y a pas lieu à l’allocation de dépens de deuxième instance, l’intimée n’ayant pas été invitée à déposer une réponse.</w:t>
      </w:r>
    </w:p>
    <w:p>
      <w:r>
        <w:t>- 7 - Par ces motifs, la Chambre des recours civile du Tribunal cantonal, en application de l'art. 322 al. 1 CPC, prononce : I. Le recours est rejeté en tant qu’il est recevable. II. Le jugement est confirmé. III. L’arrêt est rendu sans frais judiciaires de deuxième instance.</w:t>
      </w:r>
    </w:p>
    <w:p>
      <w:r>
        <w:t>- 8 - IV. L’arrêt est exécutoire. Le président : Le greffier : Du L'arrêt qui précède, dont la rédaction a été approuvée à huis clos, est notifié en expédition complète, par l'envoi de photocopies, à : - M. A.________, - Me Sandra Genier Müller (pour N.________).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- 9 - Cet arrêt est communiqué, par l'envoi de photocopies, à : - Mme la Présidente du Tribunal de prud’hommes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