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P313.037276 vom 23. Januar 2015</w:t>
      </w:r>
    </w:p>
    <w:p>
      <w:r>
        <w:t>VD Tribunal cantonal, 2015-01-23, FR</w:t>
      </w:r>
    </w:p>
    <w:p>
      <w:r>
        <w:rPr>
          <w:b/>
        </w:rPr>
        <w:t xml:space="preserve">Quelle: </w:t>
      </w:r>
      <w:r>
        <w:t>https://mcp.opencaselaw.ch/entscheid/vd_gerichte_P313.037276</w:t>
      </w:r>
    </w:p>
    <w:p>
      <w:r>
        <w:t>FR: VD_GERICHTE P313.037276 du 23 janvier 2015</w:t>
      </w:r>
    </w:p>
    <w:p>
      <w:r>
        <w:t>IT: VD_GERICHTE P313.037276 del 23 gennaio 2015</w:t>
      </w:r>
    </w:p>
    <w:p>
      <w:pPr>
        <w:pStyle w:val="Heading2"/>
      </w:pPr>
      <w:r>
        <w:t>Erwägungen</w:t>
      </w:r>
    </w:p>
    <w:p>
      <w:r>
        <w:rPr>
          <w:b/>
        </w:rPr>
        <w:t>E. 3</w:t>
      </w:r>
    </w:p>
    <w:p>
      <w:r>
        <w:t>a) L’appelant se fonde sur l’art. 350a al. 1 CO pour obtenir la restitution du dépôt de 5’500 fr. dont l’intimée a requis la constitution lorsqu’il lui a donné son congé, sans devoir être exposé au remboursement que celle-ci réclame. Selon cette disposition, à la fin des rapports de travail, le voyageur de commerce a droit à la provision sur toutes les affaires qu’il a conclues ou négociées, ainsi que sur toutes les commandes transmises à l’employeur jusqu’à la fin des rapports de travail, quelle que soit la date de leur acceptation et de leur exécution.</w:t>
      </w:r>
    </w:p>
    <w:p>
      <w:r>
        <w:t>- 16 - b/ba) L’appelant soutient que le contrat entre parties doit être qualifié de contrat de voyageur de commerce au sens de l’art. 347 CO et non de contrat de travail comme retenu par les premiers juges, de sorte que l’art. 350a al. 1 CO serait applicable. bb) Le contrat d’engagement des voyageurs de commerce est le contrat de travail spécial par lequel le travailleur s’engage, de manière permanente, c’est-à-dire non simplement pour une tâche unique et clairement déterminée, à négocier ou à conclure des affaires dans le domaine d’activité de l’entreprise, plus de la moitié de son temps de travail durant et, majoritairement, de manière non stationnaire, au nom et pour le compte d’un commerçant, d’un industriel ou d’un autre chef d’entreprise exploitée en la forme commerciale, qui ne doit pas nécessairement être la même personne que l’employeur, sans exécuter immédiatement les affaires (D. Aubert, Commentaire du contrat de travail, n. 11 ad art. 347 CO). Pour savoir si l’on est en présence d’un contrat de voyageur de commerce soumis aux règles des art. 347 ss CO, il faut déterminer si le travailleur exerce son activité en-dehors des locaux de son employeur, à tout le moins s’il l’exerce de manière prépondérante - soit pour plus de la moitié de son temps de travail - à l’extérieur. N’est pas considéré comme un voyageur de commerce le travailleur qui exerce son activité principalement à l’intérieur de l’entreprise et qui ne voyage à l’extérieur qu’occasionnellement (cf. Portmann, Basler Kommentar, n. 2-3 ad art. 347 CO, p. 2084; Streiff/von Kaenel, Arbeitsvertrag, 7e éd., n. 2 ad art. 347 CO, p. 1354 ; JAR 2010 p. 655). Le voyageur doit ainsi développer une activité majoritairement itinérante, c’est-à-dire d’une part à l’extérieur des locaux de l’employeur et consistant, d’autre part, en des déplacements. Le travail doit viser à la rencontre physique des personnes démarchées, sur leur lieu de travail, à leur domicile, etc. (D. Aubert, op. cit., n. 23 ad art. 347 CO). L’utilisation d’outils de communication tels qu’internet ou le téléphone ne permet pas de retenir la qualification de voyageur de commerce, en l’absence de contact physique avec la clientèle (D. Aubert, Le contrat de travail des voyageurs de commerce, n. 152 p. 36).</w:t>
      </w:r>
    </w:p>
    <w:p>
      <w:r>
        <w:t>- 17 - bc) En l’espèce, l’appelant a été engagé en tant que « conseiller à la clientèle ». Son contrat de travail prévoyait notamment les tâches suivantes: « acquisition (intermédiation), conseil et suivi de la clientèle privée et entreprises, création et encouragement de relations profitables avec les clients ainsi qu’un réseau profitable d’intermédiaires, développement et entretien systématique du portefeuille attribué, traitement de groupes cibles définis, suivant les cas, soutien et accompagnement des services spécialisés lors de sinistres importants » (pièce 107 ch. 2.1). L’appelant soutient qu’il résulterait de l’instruction qu’il effectuait une grande partie de son activité en dehors des locaux de la société. Il plaide qu’il importe peu de déterminer le nombre d’heures passées en déplacement et qu’il suffirait que cette activité de visite à la clientèle ne soit pas occasionnelle. Il fait enfin valoir qu’au regard de l’évolution de la technologie, la situation ne saurait être appréciée aujourd’hui comme à une époque où les outils de communication à distance n’étaient pas aussi développés. Au vu des principes indiqués ci-dessus, on ne saurait se contenter de constater que l’activité de visite n’est pas occasionnelle. Il appartient au contraire à l’appelant, qui entend déduire des droits de cette qualification (art. 8 CC), d’établir que les conditions nécessaires à la reconnaissance de l’existence d’un contrat de voyageur de commerce, en particulier l’activité majoritairement itinérante, se développant d’une part à l’extérieur des locaux de l’employeur et consistant, d’autre part, en des déplacements, est réalisée. Selon le témoin X.________, un conseiller à la clientèle a deux tâches essentielles: maintenir le portefeuille qui lui a été confié et développer celui-ci par les clients existants ou par une nouvelle clientèle et il lui était impossible de dire si l’appelant consacrait davantage de temps à ces deux tâches à l’extérieur ou à l’intérieur des locaux, dans la mesure où cela dépendait du conseiller lui-même et du volume du</w:t>
      </w:r>
    </w:p>
    <w:p>
      <w:r>
        <w:t>- 18 - portefeuille qui lui était confié. Le témoin S.________, s’il a affirmé qu’une grande partie de sa propre activité se déroulait hors des locaux de l’entreprise, ne s’est pas prononcé sur celle de l’appelant. Enfin, le témoin R.________ s’est borné à indiquer que les conseillers étaient souvent en déplacement. Ces témoignages ne sont pas suffisamment probants pour permettre de retenir que l’appelant consacrait la majorité de son temps à l’extérieur des locaux et l’appréciation des preuves par les premiers juges sur ce point peut être confirmée. L’appelant supporte l’échec de la preuve sur ce point. c) L’appelant soutient qu’à supposer que la qualification de contrat de travail doive être retenue, l’art. 350a al. 1 CO devrait être applicable par analogie, les travailleurs devant être protégés de manière égale par l’application analogique des normes protectrices des contrats spéciaux. Il n’y a pas lieu de suivre cette thèse. Dans son arrêt ATF 139 III 214 c. 5.1, confirmant l’arrêt de la Cour de céans CACI 6 septembre 2012/409, le Tribunal fédéral a certes considéré qu’afin d’éviter que l’employeur n’exploite le travailleur en lui faisant miroiter la perception de provisions irréalistes, l’effet protecteur de l’art. 349a al. 2 CO devait être appliqué par analogie à tous les travailleurs payés principalement à la provision. Le Tribunal fédéral n’a cependant jamais affirmé qu’il se justifierait d’étendre par analogie le champ d’application de l’art. 350a al. 1 CO à tous les travailleurs payés à la provision et la doctrine ne semble pas préconiser une telle extension. On ne saurait déduire une telle conclusion de D. Aubert que cite l’appelant. Selon cet auteur, les employés doivent être protégés par l’application systématique, par analogie, aux travailleurs ordinaires des normes protectrices issues de contrats spéciaux, tout en précisant qu’en pratique il s’agira principalement des règles se rapportant aux commissions (art. 349a al. 2 CO) et aux conséquences de l’incapacité limitée de travailler</w:t>
      </w:r>
    </w:p>
    <w:p>
      <w:r>
        <w:t>- 19 - (art. 349c al. 3 CO), mais sans se référer à l’art. 350a al. 1 CO (D. Aubert, op. cit., n. 11 ad art. 355 CO). Par ailleurs une application extensive de l’art. 350a al. 1 CO à tous les contrats de travail est exclue par la systématique de la loi. En effet, si l’art. 349a al. 2 CO a pu être considéré comme l’expression d’un principe général, c’est parce qu’il ne dérogeait à aucune des dispositions relatives au contrat de travail. S’agissant de l’art. 350a al. 1 CO, de deux choses l’une. Soit on admet avec la doctrine majoritaire que cette disposition ne constitue qu’un rappel des règles ordinaires, soit en particulier de l’art. 322b al. 3 CO, et qu’elle n’exclut dès lors pas la naissance d’une créance en remboursement de provisions après la fin des rapports de travail (Streiff/von Kaenel/Rudolph, Arbeitsvertrag, 7e éd., n. 3 ad art. 350a CO; Staehlin, Zürcher Kommentar n. 5 ad art. 350a CO; Rehbinder, Berner Kommentar, n. 5 ad art. 350a CO; G. Aubert, Commentaire romand, n. 2 ad art. 350a CO) et, dans ce cas, l’appelant ne peut rien en déduire en sa faveur. Soit on admet que cette disposition déroge à l’art. 322b al. 3 CO et qu’elle constitue une lex specialis par rapport aux dispositions relatives à la provision du contrat de travail (D. Aubert, op. cit. n. 9 ad art. 350a CO; Subilia/Duc, Droit du travail, 2e éd., n. 3 ad art. 350a CO) et, dans ce cas, son application ne peut être étendue à tous les travailleurs payés à la provision, à défaut de quoi les dispositions générales en la matière (art. 322b, 322c et 339 al. 2 CO) seraient dépourvues de toute portée. Dès lors que le présent contrat est un contrat de travail et non un contrat de voyageur de commerce (cf. supra c. b/bc), l’appelant ne peut rien en déduire en sa faveur. Cela étant, la controverse doctrinale sur la portée de l’art. 350a al. 1 CO peut rester ouverte.</w:t>
      </w:r>
    </w:p>
    <w:p>
      <w:r>
        <w:rPr>
          <w:b/>
        </w:rPr>
        <w:t>E. 4</w:t>
      </w:r>
    </w:p>
    <w:p>
      <w:r>
        <w:t>A titre subsidiaire, l’appelant fait valoir que, même en admettant l’applicabilité de l’art. 322b al. 3 CO, il n’y aurait pas lieu au remboursement des provisions déjà versées.</w:t>
      </w:r>
    </w:p>
    <w:p>
      <w:r>
        <w:t>- 20 - Selon l’art. 322b al. 3 CO, le droit à la provision s’éteint lorsque l’employeur n’exécute pas l’affaire sans faute de sa part ou si le tiers ne remplit pas ses obligations; si l’inexécution n’est que partielle, la provision est réduite proportionnellement. Lorsque la provision a déjà été payée, l’employeur dispose d’une créance contractuelle en remboursement (Streiff/von Kaenel, op. cit., n. 2 ad art. 322b CO). L’appelant ne conteste pas ce principe. Il soutient cependant que l’intimée aurait violé l’art. 322c al. 2 CO, en ne l’ayant pas tenu informé de l’état de la situation durant la période de deux ans après la fin des rapports de travail pendant laquelle l’extourne de commissions était réservée. Selon cette disposition, l’employeur fournit les renseignements nécessaires au travailleur; il autorise le travailleur ou l’expert à consulter les livres ou les pièces justificatives dans la mesure où le contrôle l’exige. L’appelant n’a pas formulé de demande de renseignements durant la période de deux ans après la fin des rapports de travail et peu après cette échéance, l’intimée a adressé à l’appelant le décompte final des commissions, accompagné de l’ensemble des relevés mensuels de provisions, de sorte que l’on ne discerne aucune violation de l’art. 322c al. 2 CO. De toute manière, la sanction du droit de contrôle institué par l’art. 322c al. 2 CO réside dans la possibilité pour le travailleur d’obtenir la mise en oeuvre judiciaire de son droit de contrôle et une violation de cette disposition ne saurait avoir pour effet d’éteindre le droit de l’employeur à l’extourne des provisions déjà versées, lorsque les conditions de l’art. 322b al. 3 CO sont réalisées.</w:t>
      </w:r>
    </w:p>
    <w:p>
      <w:r>
        <w:rPr>
          <w:b/>
        </w:rPr>
        <w:t>E. 5</w:t>
      </w:r>
    </w:p>
    <w:p>
      <w:r>
        <w:t>L’appelant soutient encore que l’intimée commettrait un abus de droit, en invoquant la restitution des provisions litigieuses. a) Dans la mesure où il prétend que le dépôt de commissions de 5'500 fr. aurait constitué une retenue de salaire injustifiée, le moyen est dépourvu de toute portée, puisque le Tribunal de prud’hommes a condamné l’intimée à payer à l’appelant le montant du dépôt de</w:t>
      </w:r>
    </w:p>
    <w:p>
      <w:r>
        <w:t>- 21 - commissions avec intérêts à 5% dès le lendemain de la fin des rapports de travail. b) Dans la mesure où l’appelant reproche à l’intimée le défaut d’information à propos des contrats annulés pendant la période de ristourne de deux ans, il peut être renvoyé au c. 4 ci-dessus. c) Le seul fait d’avoir attendu la fin de la période de deux ans pour faire valoir ses prétentions en extourne n’est pas constitutif d’un abus de droit, l’employeur n’ayant d’ailleurs adressé son décompte que deux mois après cette échéance. d) Dans la mesure où l’appelant fait valoir que les intérêts du travailleur quittant l’employeur ne sont pas protégés après son départ, l’argument est infondé, car l’employeur lui-même a un intérêt évident au maintien des contrats conclus avec des clients. e) Dans la mesure où l’appelant invoque que le contrat comporterait une série de règles contraires au droit qui placeraient le travailleur dans une situation d’infériorité, il n’y a pas lieu d’entrer en matière, les règles invoquées étant sans lien avec l’objet du litige. Le moyen tiré de l’abus de droit doit ainsi être rejeté.</w:t>
      </w:r>
    </w:p>
    <w:p>
      <w:r>
        <w:rPr>
          <w:b/>
        </w:rPr>
        <w:t>E. 6</w:t>
      </w:r>
    </w:p>
    <w:p>
      <w:r>
        <w:t>L’appelant fait enfin valoir que l’intimée n’aurait pas rapporté à satisfaction de droit la preuve des circonstances justifiant les extournes de provisions. L’intimée a produit un volumineux lot de pièces (pièces 153/01 à 165) contenant les pièces justificatives afférentes à chacune des extournes, indiquant en particulier le motif de l’extourne et le montant extourné, avec un décompte récapitulatif. L’appelant s’est borné à une détermination générale et globale (« admis qu’il a été procédé comme mentionné dans les allégués, le système étant quant à lui contesté »),</w:t>
      </w:r>
    </w:p>
    <w:p>
      <w:r>
        <w:t>- 22 - sans apporter le moindre élément susceptible de faire douter de la conformité des extournes effectuées, qui sont dûment documentées. Comme les premiers juges l’ont relevé, il n’a pu citer aucun cas dans lequel l’intimée aurait annulé une police enregistrée dans l’ancienne plateforme AGIL pour enregistrer une nouvelle police dans la plateforme Infoswiss. L’appréciation des premiers juges, selon laquelle le décompte de l’intimée du 11 avril 2012 ne prête pas le flanc à la critique, peut être confirmée.</w:t>
      </w:r>
    </w:p>
    <w:p>
      <w:r>
        <w:rPr>
          <w:b/>
        </w:rPr>
        <w:t>E. 7</w:t>
      </w:r>
    </w:p>
    <w:p>
      <w:r>
        <w:t>L’appel doit ainsi être rejeté et le jugement entrepris confirmé. L’arrêt peut être rendu sans frais (art. 114 let. c CPC). L'appelant versera à l'intimée la somme de 1'500 fr. (art. 7 al. 1 TDC [tarif des dépens en matière civile du 23 novembre 2010, RSV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