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P313.017959 vom 28. April 2016</w:t>
      </w:r>
    </w:p>
    <w:p>
      <w:r>
        <w:t>VD Tribunal cantonal, 2016-04-28, FR</w:t>
      </w:r>
    </w:p>
    <w:p>
      <w:r>
        <w:rPr>
          <w:b/>
        </w:rPr>
        <w:t xml:space="preserve">Quelle: </w:t>
      </w:r>
      <w:r>
        <w:t>https://mcp.opencaselaw.ch/entscheid/vd_gerichte_P313.017959</w:t>
      </w:r>
    </w:p>
    <w:p>
      <w:r>
        <w:t>FR: VD_GERICHTE P313.017959 du 28 avril 2016</w:t>
      </w:r>
    </w:p>
    <w:p>
      <w:r>
        <w:t>IT: VD_GERICHTE P313.017959 del 28 aprile 2016</w:t>
      </w:r>
    </w:p>
    <w:p>
      <w:pPr>
        <w:pStyle w:val="Heading2"/>
      </w:pPr>
      <w:r>
        <w:t>Erwägungen</w:t>
      </w:r>
    </w:p>
    <w:p>
      <w:r>
        <w:rPr>
          <w:b/>
        </w:rPr>
        <w:t>E. 4.1</w:t>
      </w:r>
    </w:p>
    <w:p>
      <w:r>
        <w:t>La recourante invoque ensuite une absence de toute violation de son devoir d'occuper et former son apprenti ainsi que l'absence de toute opposition de l'intimé aux mesures dont il a été l'objet. Elle fait également valoir qu’une pesée adéquate des intérêts de l'employeur et de l'employé commandait de prendre la mesure jugée abusive par les premiers juges. Enfin, l'intimé n'aurait en toute hypothèse subi aucune atteinte suffisante pour être indemnisé. Pour l'intimé, le fait de devoir passer ses examens dans un autre lieu que celui de sa formation a généré un stress important, imputable à une violation des devoirs d'employeur de la recourante. Il fait en outre valoir qu’il s'est opposé en temps utile à la libération de ses obligations professionnelles et que l'atteinte à la personnalité subie doit être réparée.</w:t>
      </w:r>
    </w:p>
    <w:p>
      <w:r>
        <w:rPr>
          <w:b/>
        </w:rPr>
        <w:t>E. 4.2</w:t>
      </w:r>
    </w:p>
    <w:p>
      <w:r>
        <w:t>Par le contrat d'apprentissage, l'employeur s'engage à former la personne en formation à l'exercice d'une activité professionnelle déterminée, conformément aux règles du métier, et la personne en</w:t>
      </w:r>
    </w:p>
    <w:p>
      <w:r>
        <w:t>- 14 - formation s'engage à travailler au service de l'employeur pour acquérir cette formation (art. 344 al.1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consid. 2.1 et les réf. citées). Cette formation professionnelle dure trois ou quatre ans et s'achève en général par un examen de fin d'apprentissage qui donne droit au certificat fédéral de capacité (art. 17 al. 3 LFPr [loi fédérale sur la formation professionnelle du 13 décembre 2002; RS 412.10]). Selon l'art. 328 CO, l'employeur protège et respecte, dans les rapports de travail, la personnalité du travailleur. En cas de violation de l'art. 328 al. 1 CO, l'employé a droit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 considérable qui doit se caractériser par des souffrances qui dépassent par leur intensité celles</w:t>
      </w:r>
    </w:p>
    <w:p>
      <w:r>
        <w:t>- 15 - qu'une personne doit être en mesure de subir selon les conceptions actuelles en vigueur (Favre/Munoz/Tobler, Contrat de travail annoté, 2e éd, 2010, n. 1.41 ad art. 328 CO). Il a ainsi été jugé par la Chambre des recours qu'une indemnité de 2'000 fr. était justifiée à l'égard d'un travailleur forcé de quitter immédiatement les lieux après 13 ans passés au sein de l'entreprise, sans lui laisser le temps de prendre congé de ses collègues, dans le cadre d'un licenciement avec libération de l'obligation de travailler, alors que l'employeur n'avait aucun reproche à formuler à l'encontre de son collaborateur (RSJ 2004 p. 200, confirmé par TF 4C.259/2004 du 11 novembre 2004 consid. 1).</w:t>
      </w:r>
    </w:p>
    <w:p>
      <w:r>
        <w:rPr>
          <w:b/>
        </w:rPr>
        <w:t>E. 4.3</w:t>
      </w:r>
    </w:p>
    <w:p>
      <w:r>
        <w:t>En l'espèce, contrairement à ce que les premiers juges ont considéré, la recourante n'a pas enfreint ses devoirs de formation envers l'intimé. Lorsque, par lettre du 5 juin 2012, le directeur de l'établissement a simultanément adressé un avertissement à l'intimé et l'a libéré de son obligation de travailler, la recourante pouvait à juste titre se fonder sur les événements survenus lors de la fête du personnel pour prendre de telles mesures. Les premiers juges qualifient eux-mêmes de faute légère le comportement de l'intimé et comme on l'a vu ce comportement ne peut pas être relativisé par son jeune âge, les obligations de moralité au travail n'étant ici pas différentes que dans le cadre d'un contrat de travail ordinaire. Or, en décrivant dans son film la recourante comme une institution qui sombre comme le Titanic, l'intimé a manqué à son devoir de fidélité au sens de l'art. 321a al. 1 CO. De toute manière, l'intimé s'est ensuite organisé pour passer ses examens pratiques avec succès dans un autre établissement, obtenant même une meilleure note (5,2) que pour les branches théoriques (4,5), ce qui démontre également que l'employeur a pleinement satisfait à ses devoirs de formation. On ne discerne donc pas dans les circonstances de fait le préjudice qu'aurait pu subir l'intimé dans sa formation. On peut douter aussi, comme la recourante, de l’existence même de l'opposition formulée à la mesure de libération du travail, dès lors que l'intimé s'est organisé sans délai pour passer ses examens dans un autre lieu que la fondation et qu’il l'a confirmé à la recourante le 19 juillet 2012, prenant acte du refus du directeur qu'il revienne travailler dans l'établissement.</w:t>
      </w:r>
    </w:p>
    <w:p>
      <w:r>
        <w:t>- 16 - On ne discerne pas non plus de préjudice moral suffisamment grave pour être indemnisé. A supposer même une atteinte illicite de l'employeur, ce qui n'est en définitive pas retenu, les seules difficultés d'organisation pour changer de lieu d'examen sont manifestement insuffisantes pour être qualifiée de souffrance morale d’une intensité telle qu’elle entraînerait réparation. En conséquence, il ne se justifiait pas d'allouer une indemnité à l'intimé et la décision doit être réformée en ce sens que la demande de T.________ est rejetée.</w:t>
      </w:r>
    </w:p>
    <w:p>
      <w:r>
        <w:rPr>
          <w:b/>
        </w:rPr>
        <w:t>E. 5</w:t>
      </w:r>
    </w:p>
    <w:p>
      <w:r>
        <w:t>Au vu de ce qui précède, le recours doit être admis et le chiffre I du dispositif du jugement réformé comme indiqué ci-dessus. La recourante obtenant gain de cause, elle a droit à des dépens de première instance arrêtés à 3'000 fr. ainsi qu’à des dépens de deuxième instance arrêtés à 1'500 fr. (art. 8 TDC [tarif des dépens en matière civile du 23 novembre 2010 ; RSV 270.11.6]). La requête d'assistance judiciaire de l'intimé doit être admise et Me Laurent Kohli désigné conseil d'office. Celui-ci a produit une liste d’opérations le 26 avril 2016 indiquant 5 heures et 30 minutes de travail consacrées au dossier. Après examen des opérations effectuées, le temps indiqué apparaît comme correct et justifié. Compte tenu d’un tarif horaire de 180 fr. (art. 2 al. 1 let. a RAJ [Règlement sur l’assistance judiciaire en matière civile du 7 décembre 2010 ; RSV 211.02.3]), l’indemnité de Me Kohli sera arrêtée à 990 fr., montant auquel il convient d’ajouter 7 fr. de débours et la TVA de 8% sur le tout, soit à un total de 1'076 fr. 75. Par ces motifs, la Chambre des recours civile du Tribunal cantonal, prononce : I. Le recours est admis.</w:t>
      </w:r>
    </w:p>
    <w:p>
      <w:r>
        <w:t>- 17 - II. Les chiffres I et II du dispositif du jugement sont réformés comme suit : I. La demande de T.________ est rejetée. II. T.________ est débiteur de la J.________ d’un montant de 3'000 fr. à titre de dépens. Le jugement est confirmé pour le surplus. III. La requête d’assistance judiciaire de l’intimé est admise, Me Laurent Kohli étant désigné conseil d’office pour la procédure de recours. IV. L’indemnité de Me Laurent Kohli, conseil d’office de l’intimé, arrêtée à 1'076 fr. 75 (mille septante-six francs et septante- cinq centimes), débours et TVA compris, est mise à la charge de l’Etat. V. Le bénéficiaire de l’assistance judiciaire est tenu, dans la mesure de l’art. 123 CPC, au remboursement des frais judiciaires et de l’indemnité à son conseil d’office mis à la charge de l’Etat. VI. L’intimé T.________ doit verser à la recourante J.________ la somme de 1'500 fr. (mille cinq cents francs), à titre de dépens de deuxième instance. VII. L’arrêt motivé, rendu sans frais, est exécutoire. Le président : La greffière :</w:t>
      </w:r>
    </w:p>
    <w:p>
      <w:r>
        <w:t>- 18 - Du 28 avril 2016 Le dispositif de l'arrêt qui précède est communiqué par écrit aux intéressés. La greffière : Du L'arrêt qui précède, dont la rédaction a été approuvée à huis clos, est notifié en expédition complète, par l'envoi de photocopies, à : - Me Alexandre Bernel (pour J.________), - Me Laurent Kohli (pour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